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bookmarkStart w:id="5" w:name="_GoBack"/>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10</w:t>
      </w:r>
      <w:r>
        <w:rPr>
          <w:rFonts w:hint="eastAsia" w:ascii="Arial" w:hAnsi="Arial" w:cs="Arial"/>
          <w:b/>
          <w:sz w:val="24"/>
          <w:szCs w:val="24"/>
          <w:highlight w:val="none"/>
          <w:lang w:val="en-US" w:eastAsia="zh-CN"/>
        </w:rPr>
        <w:t>6bis</w:t>
      </w:r>
      <w:r>
        <w:rPr>
          <w:rFonts w:hint="eastAsia" w:ascii="Arial" w:hAnsi="Arial" w:cs="Arial"/>
          <w:b/>
          <w:sz w:val="24"/>
          <w:szCs w:val="24"/>
          <w:highlight w:val="none"/>
        </w:rPr>
        <w:t xml:space="preserve">                              R4-2305397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cs="Arial"/>
          <w:b/>
          <w:sz w:val="24"/>
          <w:szCs w:val="24"/>
          <w:highlight w:val="none"/>
          <w:lang w:val="en-US" w:eastAsia="zh-CN"/>
        </w:rPr>
        <w:t>E-meeting</w:t>
      </w:r>
      <w:r>
        <w:rPr>
          <w:rFonts w:hint="eastAsia" w:ascii="Arial" w:hAnsi="Arial" w:eastAsia="MS Mincho" w:cs="Arial"/>
          <w:b/>
          <w:sz w:val="24"/>
          <w:szCs w:val="24"/>
          <w:highlight w:val="none"/>
          <w:lang w:eastAsia="en-US"/>
        </w:rPr>
        <w:t>,</w:t>
      </w:r>
      <w:r>
        <w:rPr>
          <w:rFonts w:hint="eastAsia" w:ascii="Arial" w:hAnsi="Arial" w:eastAsia="宋体" w:cs="Arial"/>
          <w:b/>
          <w:sz w:val="24"/>
          <w:szCs w:val="24"/>
          <w:highlight w:val="none"/>
          <w:lang w:val="en-US" w:eastAsia="zh-CN"/>
        </w:rPr>
        <w:t xml:space="preserve"> </w:t>
      </w:r>
      <w:r>
        <w:rPr>
          <w:rFonts w:ascii="Arial" w:hAnsi="Arial" w:eastAsia="宋体" w:cs="Arial"/>
          <w:b/>
          <w:sz w:val="24"/>
          <w:szCs w:val="24"/>
          <w:highlight w:val="none"/>
          <w:lang w:eastAsia="zh-CN"/>
        </w:rPr>
        <w:t>April 17 – April 26</w:t>
      </w:r>
      <w:r>
        <w:rPr>
          <w:rFonts w:hint="eastAsia" w:ascii="Arial" w:hAnsi="Arial" w:cs="Arial"/>
          <w:b/>
          <w:bCs/>
          <w:sz w:val="24"/>
          <w:szCs w:val="24"/>
          <w:highlight w:val="none"/>
          <w:lang w:val="en-US" w:eastAsia="zh-CN"/>
        </w:rPr>
        <w:t>,</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3</w:t>
      </w:r>
    </w:p>
    <w:bookmarkEnd w:id="5"/>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5.14.1.4</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 xml:space="preserve">The </w:t>
      </w:r>
      <w:r>
        <w:rPr>
          <w:rFonts w:hint="eastAsia" w:ascii="Arial" w:hAnsi="Arial" w:eastAsia="宋体" w:cs="Arial"/>
          <w:b/>
          <w:sz w:val="24"/>
          <w:szCs w:val="24"/>
          <w:highlight w:val="none"/>
          <w:lang w:val="en-US" w:eastAsia="zh-CN"/>
        </w:rPr>
        <w:t>simulation results for ATG coexistence study</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eastAsia="宋体" w:cs="Arial"/>
          <w:b/>
          <w:sz w:val="24"/>
          <w:szCs w:val="24"/>
          <w:highlight w:val="none"/>
          <w:lang w:val="en-US" w:eastAsia="zh-CN"/>
        </w:rPr>
        <w:t>Discussion</w:t>
      </w:r>
      <w:r>
        <w:rPr>
          <w:rFonts w:hint="eastAsia" w:ascii="Arial" w:hAnsi="Arial" w:cs="Arial"/>
          <w:b/>
          <w:sz w:val="24"/>
          <w:szCs w:val="24"/>
          <w:highlight w:val="none"/>
        </w:rPr>
        <w:t xml:space="preserve">  </w:t>
      </w:r>
    </w:p>
    <w:p>
      <w:pPr>
        <w:pStyle w:val="54"/>
        <w:tabs>
          <w:tab w:val="left" w:pos="567"/>
          <w:tab w:val="clear" w:pos="1985"/>
        </w:tabs>
        <w:adjustRightInd w:val="0"/>
        <w:ind w:left="510" w:hanging="510"/>
        <w:rPr>
          <w:highlight w:val="none"/>
        </w:rPr>
      </w:pPr>
      <w:r>
        <w:rPr>
          <w:highlight w:val="none"/>
        </w:rPr>
        <w:t>Introduction</w:t>
      </w:r>
    </w:p>
    <w:p>
      <w:pPr>
        <w:widowControl w:val="0"/>
        <w:numPr>
          <w:ilvl w:val="0"/>
          <w:numId w:val="0"/>
        </w:numPr>
        <w:overflowPunct/>
        <w:autoSpaceDE/>
        <w:autoSpaceDN/>
        <w:adjustRightInd/>
        <w:spacing w:after="0"/>
        <w:jc w:val="both"/>
        <w:textAlignment w:val="auto"/>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In RAN#95e meeting, the work item [</w:t>
      </w:r>
      <w:r>
        <w:rPr>
          <w:rFonts w:hint="eastAsia" w:ascii="Times New Roman" w:hAnsi="Times New Roman" w:eastAsia="宋体" w:cs="Times New Roman"/>
          <w:sz w:val="20"/>
          <w:szCs w:val="20"/>
          <w:highlight w:val="none"/>
          <w:lang w:val="en-US" w:eastAsia="zh-CN"/>
        </w:rPr>
        <w:t>RP-221369</w:t>
      </w:r>
      <w:r>
        <w:rPr>
          <w:rFonts w:hint="eastAsia" w:cs="Times New Roman"/>
          <w:kern w:val="2"/>
          <w:sz w:val="21"/>
          <w:szCs w:val="22"/>
          <w:highlight w:val="none"/>
          <w:lang w:val="en-US" w:eastAsia="zh-CN" w:bidi="ar-SA"/>
        </w:rPr>
        <w:t>] on Air-to-ground network for NR was approved as one of Rel-18 RAN4 package. In this contribution, we want to share some further updated simulation results for it based on the agreed simulation assumption so far.</w:t>
      </w:r>
    </w:p>
    <w:p>
      <w:pPr>
        <w:widowControl w:val="0"/>
        <w:numPr>
          <w:ilvl w:val="0"/>
          <w:numId w:val="0"/>
        </w:numPr>
        <w:overflowPunct/>
        <w:autoSpaceDE/>
        <w:autoSpaceDN/>
        <w:adjustRightInd/>
        <w:spacing w:after="0"/>
        <w:jc w:val="center"/>
        <w:textAlignment w:val="auto"/>
        <w:rPr>
          <w:highlight w:val="none"/>
        </w:rPr>
      </w:pPr>
      <w:r>
        <w:rPr>
          <w:highlight w:val="none"/>
        </w:rPr>
        <w:t>Table 6.1-1: Simulation scenarios for ATG coexistence study</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2"/>
        <w:gridCol w:w="1463"/>
        <w:gridCol w:w="1366"/>
        <w:gridCol w:w="1120"/>
        <w:gridCol w:w="1366"/>
        <w:gridCol w:w="1120"/>
        <w:gridCol w:w="1264"/>
        <w:gridCol w:w="857"/>
        <w:gridCol w:w="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rPr>
                <w:highlight w:val="none"/>
                <w:lang w:eastAsia="ja-JP"/>
              </w:rPr>
            </w:pPr>
            <w:r>
              <w:rPr>
                <w:highlight w:val="none"/>
              </w:rPr>
              <w:t>No.</w:t>
            </w:r>
          </w:p>
        </w:tc>
        <w:tc>
          <w:tcPr>
            <w:tcW w:w="73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rPr>
                <w:highlight w:val="none"/>
              </w:rPr>
            </w:pPr>
            <w:r>
              <w:rPr>
                <w:highlight w:val="none"/>
              </w:rPr>
              <w:t>Combination</w:t>
            </w:r>
          </w:p>
        </w:tc>
        <w:tc>
          <w:tcPr>
            <w:tcW w:w="124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rPr>
                <w:highlight w:val="none"/>
              </w:rPr>
            </w:pPr>
            <w:r>
              <w:rPr>
                <w:highlight w:val="none"/>
              </w:rPr>
              <w:t>Aggressor</w:t>
            </w:r>
          </w:p>
        </w:tc>
        <w:tc>
          <w:tcPr>
            <w:tcW w:w="124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rPr>
                <w:highlight w:val="none"/>
              </w:rPr>
            </w:pPr>
            <w:r>
              <w:rPr>
                <w:highlight w:val="none"/>
              </w:rPr>
              <w:t>Victim</w:t>
            </w:r>
          </w:p>
        </w:tc>
        <w:tc>
          <w:tcPr>
            <w:tcW w:w="63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rPr>
                <w:highlight w:val="none"/>
              </w:rPr>
            </w:pPr>
            <w:r>
              <w:rPr>
                <w:highlight w:val="none"/>
                <w:lang w:eastAsia="zh-CN"/>
              </w:rPr>
              <w:t>Simulation frequency</w:t>
            </w:r>
          </w:p>
        </w:tc>
        <w:tc>
          <w:tcPr>
            <w:tcW w:w="43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rPr>
                <w:highlight w:val="none"/>
              </w:rPr>
            </w:pPr>
            <w:r>
              <w:rPr>
                <w:highlight w:val="none"/>
              </w:rPr>
              <w:t>Notes</w:t>
            </w:r>
          </w:p>
        </w:tc>
        <w:tc>
          <w:tcPr>
            <w:tcW w:w="41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rPr>
                <w:highlight w:val="none"/>
              </w:rPr>
            </w:pPr>
            <w:r>
              <w:rPr>
                <w:highlight w:val="none"/>
              </w:rPr>
              <w:t>Study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highlight w:val="none"/>
                <w:lang w:eastAsia="ja-JP"/>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highlight w:val="none"/>
                <w:lang w:eastAsia="ja-JP"/>
              </w:rPr>
            </w:pP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rPr>
                <w:highlight w:val="none"/>
                <w:lang w:eastAsia="zh-CN"/>
              </w:rPr>
            </w:pPr>
            <w:r>
              <w:rPr>
                <w:highlight w:val="none"/>
                <w:lang w:eastAsia="zh-CN"/>
              </w:rPr>
              <w:t>deployment scenario</w:t>
            </w:r>
          </w:p>
          <w:p>
            <w:pPr>
              <w:pStyle w:val="34"/>
              <w:textAlignment w:val="baseline"/>
              <w:rPr>
                <w:highlight w:val="none"/>
                <w:lang w:eastAsia="zh-CN"/>
              </w:rPr>
            </w:pPr>
            <w:r>
              <w:rPr>
                <w:highlight w:val="none"/>
                <w:lang w:eastAsia="zh-CN"/>
              </w:rPr>
              <w:t>UL/DL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rPr>
                <w:highlight w:val="none"/>
                <w:lang w:eastAsia="zh-CN"/>
              </w:rPr>
            </w:pPr>
            <w:r>
              <w:rPr>
                <w:highlight w:val="none"/>
                <w:lang w:eastAsia="zh-CN"/>
              </w:rPr>
              <w:t>CBW</w:t>
            </w:r>
          </w:p>
          <w:p>
            <w:pPr>
              <w:pStyle w:val="34"/>
              <w:textAlignment w:val="baseline"/>
              <w:rPr>
                <w:highlight w:val="none"/>
                <w:lang w:eastAsia="zh-CN"/>
              </w:rPr>
            </w:pPr>
            <w:r>
              <w:rPr>
                <w:highlight w:val="none"/>
                <w:lang w:eastAsia="zh-CN"/>
              </w:rPr>
              <w:t>duplex mode</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rPr>
                <w:highlight w:val="none"/>
                <w:lang w:eastAsia="zh-CN"/>
              </w:rPr>
            </w:pPr>
            <w:r>
              <w:rPr>
                <w:highlight w:val="none"/>
                <w:lang w:eastAsia="zh-CN"/>
              </w:rPr>
              <w:t>deployment scenario</w:t>
            </w:r>
          </w:p>
          <w:p>
            <w:pPr>
              <w:pStyle w:val="34"/>
              <w:textAlignment w:val="baseline"/>
              <w:rPr>
                <w:highlight w:val="none"/>
                <w:lang w:eastAsia="ja-JP"/>
              </w:rPr>
            </w:pPr>
            <w:r>
              <w:rPr>
                <w:highlight w:val="none"/>
                <w:lang w:eastAsia="zh-CN"/>
              </w:rPr>
              <w:t>UL/DL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rPr>
                <w:highlight w:val="none"/>
                <w:lang w:eastAsia="zh-CN"/>
              </w:rPr>
            </w:pPr>
            <w:r>
              <w:rPr>
                <w:highlight w:val="none"/>
                <w:lang w:eastAsia="zh-CN"/>
              </w:rPr>
              <w:t>CBW</w:t>
            </w:r>
          </w:p>
          <w:p>
            <w:pPr>
              <w:pStyle w:val="34"/>
              <w:textAlignment w:val="baseline"/>
              <w:rPr>
                <w:highlight w:val="none"/>
                <w:lang w:eastAsia="zh-CN"/>
              </w:rPr>
            </w:pPr>
            <w:r>
              <w:rPr>
                <w:highlight w:val="none"/>
                <w:lang w:eastAsia="zh-CN"/>
              </w:rPr>
              <w:t>duplex mode</w:t>
            </w:r>
          </w:p>
        </w:tc>
        <w:tc>
          <w:tcPr>
            <w:tcW w:w="634"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highlight w:val="none"/>
                <w:lang w:eastAsia="ja-JP"/>
              </w:rPr>
            </w:pPr>
          </w:p>
        </w:tc>
        <w:tc>
          <w:tcPr>
            <w:tcW w:w="43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highlight w:val="none"/>
                <w:lang w:eastAsia="ja-JP"/>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highlight w:val="none"/>
                <w:lang w:eastAsia="en-GB"/>
              </w:rPr>
            </w:pPr>
            <w:r>
              <w:rPr>
                <w:color w:val="auto"/>
                <w:highlight w:val="none"/>
              </w:rPr>
              <w:t>1</w:t>
            </w:r>
          </w:p>
        </w:tc>
        <w:tc>
          <w:tcPr>
            <w:tcW w:w="7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color w:val="auto"/>
                <w:highlight w:val="none"/>
                <w:lang w:eastAsia="zh-CN"/>
              </w:rPr>
            </w:pPr>
            <w:r>
              <w:rPr>
                <w:color w:val="auto"/>
                <w:highlight w:val="none"/>
              </w:rPr>
              <w:t xml:space="preserve">TN with </w:t>
            </w:r>
            <w:r>
              <w:rPr>
                <w:rFonts w:eastAsia="Times New Roman"/>
                <w:color w:val="auto"/>
                <w:highlight w:val="none"/>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color w:val="auto"/>
                <w:highlight w:val="none"/>
                <w:lang w:eastAsia="en-GB"/>
              </w:rPr>
            </w:pPr>
            <w:r>
              <w:rPr>
                <w:rFonts w:eastAsia="Times New Roman"/>
                <w:color w:val="auto"/>
                <w:highlight w:val="none"/>
                <w:lang w:eastAsia="zh-CN"/>
              </w:rPr>
              <w:t xml:space="preserve">ATG </w:t>
            </w:r>
            <w:r>
              <w:rPr>
                <w:color w:val="auto"/>
                <w:highlight w:val="none"/>
              </w:rPr>
              <w:t>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highlight w:val="none"/>
              </w:rPr>
            </w:pPr>
            <w:r>
              <w:rPr>
                <w:color w:val="auto"/>
                <w:highlight w:val="none"/>
              </w:rPr>
              <w:t>100MHz</w:t>
            </w:r>
          </w:p>
          <w:p>
            <w:pPr>
              <w:pStyle w:val="35"/>
              <w:rPr>
                <w:rFonts w:eastAsia="Times New Roman"/>
                <w:color w:val="auto"/>
                <w:highlight w:val="none"/>
                <w:lang w:eastAsia="zh-CN"/>
              </w:rPr>
            </w:pPr>
            <w:r>
              <w:rPr>
                <w:color w:val="auto"/>
                <w:highlight w:val="none"/>
              </w:rPr>
              <w:t>TDD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color w:val="auto"/>
                <w:highlight w:val="none"/>
                <w:lang w:eastAsia="zh-CN"/>
              </w:rPr>
            </w:pPr>
            <w:r>
              <w:rPr>
                <w:rFonts w:eastAsia="Times New Roman"/>
                <w:color w:val="auto"/>
                <w:highlight w:val="none"/>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color w:val="auto"/>
                <w:highlight w:val="none"/>
                <w:lang w:eastAsia="en-GB"/>
              </w:rPr>
            </w:pPr>
            <w:r>
              <w:rPr>
                <w:color w:val="auto"/>
                <w:highlight w:val="none"/>
              </w:rPr>
              <w:t>100MHz</w:t>
            </w:r>
          </w:p>
          <w:p>
            <w:pPr>
              <w:pStyle w:val="35"/>
              <w:rPr>
                <w:bCs w:val="0"/>
                <w:color w:val="auto"/>
                <w:highlight w:val="none"/>
                <w:lang w:val="en-US" w:eastAsia="zh-CN"/>
              </w:rPr>
            </w:pPr>
            <w:r>
              <w:rPr>
                <w:rFonts w:eastAsia="Times New Roman"/>
                <w:color w:val="auto"/>
                <w:highlight w:val="none"/>
              </w:rPr>
              <w:t>/TDD</w:t>
            </w:r>
          </w:p>
        </w:tc>
        <w:tc>
          <w:tcPr>
            <w:tcW w:w="6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bCs w:val="0"/>
                <w:color w:val="auto"/>
                <w:highlight w:val="none"/>
                <w:lang w:val="en-US" w:eastAsia="zh-CN"/>
              </w:rPr>
            </w:pPr>
            <w:r>
              <w:rPr>
                <w:bCs w:val="0"/>
                <w:color w:val="auto"/>
                <w:highlight w:val="none"/>
                <w:lang w:val="en-US" w:eastAsia="zh-CN"/>
              </w:rPr>
              <w:t>3.5 GHz</w:t>
            </w:r>
          </w:p>
        </w:tc>
        <w:tc>
          <w:tcPr>
            <w:tcW w:w="43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b w:val="0"/>
                <w:color w:val="auto"/>
                <w:kern w:val="0"/>
                <w:szCs w:val="20"/>
                <w:highlight w:val="none"/>
                <w:lang w:val="en-US" w:eastAsia="zh-CN"/>
              </w:rPr>
            </w:pPr>
          </w:p>
        </w:tc>
        <w:tc>
          <w:tcPr>
            <w:tcW w:w="418"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color w:val="auto"/>
                <w:highlight w:val="none"/>
                <w:lang w:val="en-US" w:eastAsia="en-GB"/>
              </w:rPr>
            </w:pPr>
            <w:r>
              <w:rPr>
                <w:color w:val="auto"/>
                <w:highlight w:val="none"/>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highlight w:val="none"/>
                <w:lang w:eastAsia="zh-CN"/>
              </w:rPr>
            </w:pPr>
            <w:r>
              <w:rPr>
                <w:color w:val="0000FF"/>
                <w:highlight w:val="none"/>
                <w:lang w:eastAsia="zh-CN"/>
              </w:rPr>
              <w:t>2</w:t>
            </w:r>
          </w:p>
        </w:tc>
        <w:tc>
          <w:tcPr>
            <w:tcW w:w="7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highlight w:val="none"/>
                <w:lang w:eastAsia="en-GB"/>
              </w:rPr>
            </w:pPr>
            <w:r>
              <w:rPr>
                <w:color w:val="0000FF"/>
                <w:highlight w:val="none"/>
              </w:rPr>
              <w:t xml:space="preserve">TN with </w:t>
            </w:r>
            <w:r>
              <w:rPr>
                <w:color w:val="0000FF"/>
                <w:highlight w:val="none"/>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highlight w:val="none"/>
                <w:lang w:eastAsia="zh-CN"/>
              </w:rPr>
            </w:pPr>
            <w:r>
              <w:rPr>
                <w:color w:val="0000FF"/>
                <w:highlight w:val="none"/>
                <w:lang w:eastAsia="zh-CN"/>
              </w:rPr>
              <w:t xml:space="preserve">ATG </w:t>
            </w:r>
            <w:r>
              <w:rPr>
                <w:color w:val="0000FF"/>
                <w:highlight w:val="none"/>
              </w:rPr>
              <w:t>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highlight w:val="none"/>
                <w:lang w:eastAsia="en-GB"/>
              </w:rPr>
            </w:pPr>
            <w:r>
              <w:rPr>
                <w:color w:val="0000FF"/>
                <w:highlight w:val="none"/>
              </w:rPr>
              <w:t>100MHz</w:t>
            </w:r>
          </w:p>
          <w:p>
            <w:pPr>
              <w:pStyle w:val="35"/>
              <w:rPr>
                <w:color w:val="0000FF"/>
                <w:highlight w:val="none"/>
                <w:lang w:eastAsia="zh-CN"/>
              </w:rPr>
            </w:pPr>
            <w:r>
              <w:rPr>
                <w:color w:val="0000FF"/>
                <w:highlight w:val="none"/>
              </w:rPr>
              <w:t>TDD</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highlight w:val="none"/>
                <w:lang w:eastAsia="zh-CN"/>
              </w:rPr>
            </w:pPr>
            <w:r>
              <w:rPr>
                <w:color w:val="0000FF"/>
                <w:highlight w:val="none"/>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0000FF"/>
                <w:highlight w:val="none"/>
                <w:lang w:eastAsia="en-GB"/>
              </w:rPr>
            </w:pPr>
            <w:r>
              <w:rPr>
                <w:color w:val="0000FF"/>
                <w:highlight w:val="none"/>
              </w:rPr>
              <w:t>100MHz</w:t>
            </w:r>
          </w:p>
          <w:p>
            <w:pPr>
              <w:pStyle w:val="35"/>
              <w:rPr>
                <w:color w:val="0000FF"/>
                <w:highlight w:val="none"/>
                <w:lang w:val="en-US" w:eastAsia="zh-CN"/>
              </w:rPr>
            </w:pPr>
            <w:r>
              <w:rPr>
                <w:color w:val="0000FF"/>
                <w:highlight w:val="none"/>
              </w:rPr>
              <w:t>TDD</w:t>
            </w:r>
          </w:p>
        </w:tc>
        <w:tc>
          <w:tcPr>
            <w:tcW w:w="6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highlight w:val="none"/>
                <w:lang w:val="en-US" w:eastAsia="zh-CN"/>
              </w:rPr>
            </w:pPr>
            <w:r>
              <w:rPr>
                <w:color w:val="0000FF"/>
                <w:highlight w:val="none"/>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highlight w:val="none"/>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highlight w:val="none"/>
                <w:lang w:val="en-US"/>
              </w:rPr>
            </w:pPr>
            <w:r>
              <w:rPr>
                <w:color w:val="0000FF"/>
                <w:highlight w:val="none"/>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宋体"/>
                <w:color w:val="FFC000"/>
                <w:highlight w:val="none"/>
                <w:lang w:eastAsia="zh-CN"/>
              </w:rPr>
            </w:pPr>
            <w:r>
              <w:rPr>
                <w:rFonts w:eastAsia="宋体"/>
                <w:color w:val="FFC000"/>
                <w:highlight w:val="none"/>
                <w:lang w:eastAsia="zh-CN"/>
              </w:rPr>
              <w:t>3</w:t>
            </w:r>
          </w:p>
        </w:tc>
        <w:tc>
          <w:tcPr>
            <w:tcW w:w="7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C000"/>
                <w:highlight w:val="none"/>
                <w:lang w:eastAsia="en-GB"/>
              </w:rPr>
            </w:pPr>
            <w:r>
              <w:rPr>
                <w:color w:val="FFC000"/>
                <w:highlight w:val="none"/>
              </w:rPr>
              <w:t xml:space="preserve">TN with </w:t>
            </w:r>
            <w:r>
              <w:rPr>
                <w:rFonts w:eastAsia="宋体"/>
                <w:color w:val="FFC000"/>
                <w:highlight w:val="none"/>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color w:val="FFC000"/>
                <w:kern w:val="2"/>
                <w:szCs w:val="24"/>
                <w:highlight w:val="none"/>
                <w:lang w:eastAsia="zh-CN"/>
              </w:rPr>
            </w:pPr>
            <w:r>
              <w:rPr>
                <w:rFonts w:eastAsia="宋体"/>
                <w:color w:val="FFC000"/>
                <w:highlight w:val="none"/>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color w:val="FFC000"/>
                <w:highlight w:val="none"/>
                <w:lang w:eastAsia="en-GB"/>
              </w:rPr>
            </w:pPr>
            <w:r>
              <w:rPr>
                <w:color w:val="FFC000"/>
                <w:highlight w:val="none"/>
              </w:rPr>
              <w:t>100MHz</w:t>
            </w:r>
          </w:p>
          <w:p>
            <w:pPr>
              <w:pStyle w:val="35"/>
              <w:rPr>
                <w:rFonts w:eastAsia="宋体"/>
                <w:color w:val="FFC000"/>
                <w:kern w:val="2"/>
                <w:szCs w:val="24"/>
                <w:highlight w:val="none"/>
                <w:lang w:eastAsia="zh-CN"/>
              </w:rPr>
            </w:pPr>
            <w:r>
              <w:rPr>
                <w:color w:val="FFC000"/>
                <w:highlight w:val="none"/>
              </w:rPr>
              <w:t>TDD</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rFonts w:eastAsia="宋体"/>
                <w:color w:val="FFC000"/>
                <w:kern w:val="2"/>
                <w:szCs w:val="24"/>
                <w:highlight w:val="none"/>
                <w:lang w:eastAsia="zh-CN"/>
              </w:rPr>
            </w:pPr>
            <w:r>
              <w:rPr>
                <w:rFonts w:eastAsia="宋体"/>
                <w:color w:val="FFC000"/>
                <w:highlight w:val="none"/>
                <w:lang w:eastAsia="zh-CN"/>
              </w:rPr>
              <w:t xml:space="preserve">ATG </w:t>
            </w:r>
            <w:r>
              <w:rPr>
                <w:color w:val="FFC000"/>
                <w:highlight w:val="none"/>
              </w:rPr>
              <w:t>DL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rFonts w:eastAsia="Times New Roman"/>
                <w:color w:val="FFC000"/>
                <w:highlight w:val="none"/>
                <w:lang w:eastAsia="en-GB"/>
              </w:rPr>
            </w:pPr>
            <w:r>
              <w:rPr>
                <w:color w:val="FFC000"/>
                <w:highlight w:val="none"/>
              </w:rPr>
              <w:t>100MHz</w:t>
            </w:r>
          </w:p>
          <w:p>
            <w:pPr>
              <w:pStyle w:val="36"/>
              <w:jc w:val="center"/>
              <w:textAlignment w:val="baseline"/>
              <w:rPr>
                <w:bCs/>
                <w:color w:val="FFC000"/>
                <w:highlight w:val="none"/>
                <w:lang w:val="en-US" w:eastAsia="zh-CN"/>
              </w:rPr>
            </w:pPr>
            <w:r>
              <w:rPr>
                <w:rFonts w:eastAsia="Yu Mincho"/>
                <w:color w:val="FFC000"/>
                <w:highlight w:val="none"/>
              </w:rPr>
              <w:t>TDD</w:t>
            </w:r>
          </w:p>
        </w:tc>
        <w:tc>
          <w:tcPr>
            <w:tcW w:w="6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bCs/>
                <w:color w:val="FFC000"/>
                <w:highlight w:val="none"/>
                <w:lang w:val="en-US" w:eastAsia="zh-CN"/>
              </w:rPr>
            </w:pPr>
            <w:r>
              <w:rPr>
                <w:bCs/>
                <w:color w:val="FFC000"/>
                <w:highlight w:val="none"/>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rFonts w:eastAsia="Yu Mincho"/>
                <w:b/>
                <w:color w:val="FFC000"/>
                <w:kern w:val="2"/>
                <w:szCs w:val="24"/>
                <w:highlight w:val="none"/>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C000"/>
                <w:kern w:val="2"/>
                <w:szCs w:val="24"/>
                <w:highlight w:val="none"/>
                <w:lang w:val="en-US" w:eastAsia="zh-CN"/>
              </w:rPr>
            </w:pPr>
            <w:r>
              <w:rPr>
                <w:color w:val="FFC000"/>
                <w:highlight w:val="none"/>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color w:val="auto"/>
                <w:highlight w:val="none"/>
                <w:lang w:eastAsia="zh-CN"/>
              </w:rPr>
            </w:pPr>
            <w:r>
              <w:rPr>
                <w:rFonts w:eastAsia="宋体"/>
                <w:color w:val="auto"/>
                <w:highlight w:val="none"/>
                <w:lang w:eastAsia="zh-CN"/>
              </w:rPr>
              <w:t>4</w:t>
            </w:r>
          </w:p>
        </w:tc>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color w:val="auto"/>
                <w:highlight w:val="none"/>
                <w:lang w:eastAsia="en-GB"/>
              </w:rPr>
            </w:pPr>
            <w:r>
              <w:rPr>
                <w:color w:val="auto"/>
                <w:highlight w:val="none"/>
              </w:rPr>
              <w:t xml:space="preserve">TN with </w:t>
            </w:r>
            <w:r>
              <w:rPr>
                <w:rFonts w:eastAsia="宋体"/>
                <w:color w:val="auto"/>
                <w:highlight w:val="none"/>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color w:val="auto"/>
                <w:kern w:val="2"/>
                <w:szCs w:val="24"/>
                <w:highlight w:val="none"/>
                <w:lang w:eastAsia="zh-CN"/>
              </w:rPr>
            </w:pPr>
            <w:r>
              <w:rPr>
                <w:rFonts w:eastAsia="宋体"/>
                <w:color w:val="auto"/>
                <w:highlight w:val="none"/>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5"/>
              <w:rPr>
                <w:color w:val="auto"/>
                <w:highlight w:val="none"/>
                <w:lang w:eastAsia="en-GB"/>
              </w:rPr>
            </w:pPr>
            <w:r>
              <w:rPr>
                <w:color w:val="auto"/>
                <w:highlight w:val="none"/>
              </w:rPr>
              <w:t>100MHz</w:t>
            </w:r>
          </w:p>
          <w:p>
            <w:pPr>
              <w:pStyle w:val="35"/>
              <w:rPr>
                <w:rFonts w:eastAsia="宋体"/>
                <w:color w:val="auto"/>
                <w:kern w:val="2"/>
                <w:szCs w:val="24"/>
                <w:highlight w:val="none"/>
                <w:lang w:eastAsia="zh-CN"/>
              </w:rPr>
            </w:pPr>
            <w:r>
              <w:rPr>
                <w:color w:val="auto"/>
                <w:highlight w:val="none"/>
              </w:rPr>
              <w:t>TDD</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color w:val="auto"/>
                <w:kern w:val="2"/>
                <w:szCs w:val="24"/>
                <w:highlight w:val="none"/>
                <w:lang w:eastAsia="zh-CN"/>
              </w:rPr>
            </w:pPr>
            <w:r>
              <w:rPr>
                <w:rFonts w:eastAsia="宋体"/>
                <w:color w:val="auto"/>
                <w:highlight w:val="none"/>
                <w:lang w:eastAsia="zh-CN"/>
              </w:rPr>
              <w:t xml:space="preserve">ATG </w:t>
            </w:r>
            <w:r>
              <w:rPr>
                <w:color w:val="auto"/>
                <w:highlight w:val="none"/>
              </w:rPr>
              <w:t>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color w:val="auto"/>
                <w:highlight w:val="none"/>
                <w:lang w:eastAsia="en-GB"/>
              </w:rPr>
            </w:pPr>
            <w:r>
              <w:rPr>
                <w:color w:val="auto"/>
                <w:highlight w:val="none"/>
              </w:rPr>
              <w:t>100MHz</w:t>
            </w:r>
          </w:p>
          <w:p>
            <w:pPr>
              <w:pStyle w:val="36"/>
              <w:jc w:val="center"/>
              <w:textAlignment w:val="baseline"/>
              <w:rPr>
                <w:bCs/>
                <w:color w:val="auto"/>
                <w:highlight w:val="none"/>
                <w:lang w:val="en-US" w:eastAsia="zh-CN"/>
              </w:rPr>
            </w:pPr>
            <w:r>
              <w:rPr>
                <w:rFonts w:eastAsia="Yu Mincho"/>
                <w:color w:val="auto"/>
                <w:highlight w:val="none"/>
              </w:rPr>
              <w:t>TDD</w:t>
            </w:r>
          </w:p>
        </w:tc>
        <w:tc>
          <w:tcPr>
            <w:tcW w:w="634"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bCs/>
                <w:color w:val="auto"/>
                <w:highlight w:val="none"/>
                <w:lang w:val="en-US" w:eastAsia="zh-CN"/>
              </w:rPr>
            </w:pPr>
            <w:r>
              <w:rPr>
                <w:bCs/>
                <w:color w:val="auto"/>
                <w:highlight w:val="none"/>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rFonts w:eastAsia="Yu Mincho"/>
                <w:b/>
                <w:color w:val="auto"/>
                <w:kern w:val="2"/>
                <w:szCs w:val="24"/>
                <w:highlight w:val="none"/>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color w:val="auto"/>
                <w:kern w:val="2"/>
                <w:szCs w:val="24"/>
                <w:highlight w:val="none"/>
                <w:lang w:val="en-US" w:eastAsia="zh-CN"/>
              </w:rPr>
            </w:pPr>
            <w:r>
              <w:rPr>
                <w:color w:val="auto"/>
                <w:highlight w:val="none"/>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color w:val="auto"/>
                <w:highlight w:val="none"/>
                <w:lang w:eastAsia="zh-CN"/>
              </w:rPr>
            </w:pPr>
            <w:r>
              <w:rPr>
                <w:color w:val="auto"/>
                <w:highlight w:val="none"/>
                <w:lang w:eastAsia="zh-CN"/>
              </w:rPr>
              <w:t>5</w:t>
            </w:r>
          </w:p>
        </w:tc>
        <w:tc>
          <w:tcPr>
            <w:tcW w:w="7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highlight w:val="none"/>
                <w:lang w:eastAsia="en-GB"/>
              </w:rPr>
            </w:pPr>
            <w:r>
              <w:rPr>
                <w:color w:val="auto"/>
                <w:highlight w:val="none"/>
              </w:rPr>
              <w:t xml:space="preserve">TN with </w:t>
            </w:r>
            <w:r>
              <w:rPr>
                <w:color w:val="auto"/>
                <w:highlight w:val="none"/>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highlight w:val="none"/>
                <w:lang w:eastAsia="zh-CN"/>
              </w:rPr>
            </w:pPr>
            <w:r>
              <w:rPr>
                <w:color w:val="auto"/>
                <w:highlight w:val="none"/>
                <w:lang w:eastAsia="zh-CN"/>
              </w:rPr>
              <w:t xml:space="preserve">ATG </w:t>
            </w:r>
            <w:r>
              <w:rPr>
                <w:color w:val="auto"/>
                <w:highlight w:val="none"/>
              </w:rPr>
              <w:t>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highlight w:val="none"/>
                <w:lang w:eastAsia="en-GB"/>
              </w:rPr>
            </w:pPr>
            <w:r>
              <w:rPr>
                <w:color w:val="auto"/>
                <w:highlight w:val="none"/>
              </w:rPr>
              <w:t>100MHz</w:t>
            </w:r>
          </w:p>
          <w:p>
            <w:pPr>
              <w:pStyle w:val="35"/>
              <w:rPr>
                <w:color w:val="auto"/>
                <w:highlight w:val="none"/>
                <w:lang w:eastAsia="zh-CN"/>
              </w:rPr>
            </w:pPr>
            <w:r>
              <w:rPr>
                <w:color w:val="auto"/>
                <w:highlight w:val="none"/>
              </w:rPr>
              <w:t>TDD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highlight w:val="none"/>
                <w:lang w:eastAsia="zh-CN"/>
              </w:rPr>
            </w:pPr>
            <w:r>
              <w:rPr>
                <w:color w:val="auto"/>
                <w:highlight w:val="none"/>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highlight w:val="none"/>
                <w:lang w:eastAsia="en-GB"/>
              </w:rPr>
            </w:pPr>
            <w:r>
              <w:rPr>
                <w:color w:val="auto"/>
                <w:highlight w:val="none"/>
              </w:rPr>
              <w:t>100MHz</w:t>
            </w:r>
          </w:p>
          <w:p>
            <w:pPr>
              <w:pStyle w:val="35"/>
              <w:rPr>
                <w:color w:val="auto"/>
                <w:highlight w:val="none"/>
                <w:lang w:val="en-US" w:eastAsia="zh-CN"/>
              </w:rPr>
            </w:pPr>
            <w:r>
              <w:rPr>
                <w:color w:val="auto"/>
                <w:highlight w:val="none"/>
              </w:rPr>
              <w:t>/TDD</w:t>
            </w:r>
          </w:p>
        </w:tc>
        <w:tc>
          <w:tcPr>
            <w:tcW w:w="6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highlight w:val="none"/>
                <w:lang w:val="en-US" w:eastAsia="zh-CN"/>
              </w:rPr>
            </w:pPr>
            <w:r>
              <w:rPr>
                <w:color w:val="auto"/>
                <w:highlight w:val="none"/>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5"/>
              <w:rPr>
                <w:color w:val="auto"/>
                <w:highlight w:val="none"/>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color w:val="auto"/>
                <w:highlight w:val="none"/>
                <w:lang w:val="en-US" w:eastAsia="zh-CN"/>
              </w:rPr>
            </w:pPr>
            <w:r>
              <w:rPr>
                <w:color w:val="auto"/>
                <w:highlight w:val="none"/>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highlight w:val="none"/>
                <w:lang w:eastAsia="zh-CN"/>
              </w:rPr>
            </w:pPr>
            <w:r>
              <w:rPr>
                <w:color w:val="FF0000"/>
                <w:highlight w:val="none"/>
                <w:lang w:eastAsia="zh-CN"/>
              </w:rPr>
              <w:t>6</w:t>
            </w:r>
          </w:p>
        </w:tc>
        <w:tc>
          <w:tcPr>
            <w:tcW w:w="7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highlight w:val="none"/>
                <w:lang w:eastAsia="en-GB"/>
              </w:rPr>
            </w:pPr>
            <w:r>
              <w:rPr>
                <w:color w:val="FF0000"/>
                <w:highlight w:val="none"/>
                <w:lang w:eastAsia="zh-CN"/>
              </w:rPr>
              <w:t>TN with ATG</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highlight w:val="none"/>
                <w:lang w:eastAsia="zh-CN"/>
              </w:rPr>
            </w:pPr>
            <w:r>
              <w:rPr>
                <w:color w:val="FF0000"/>
                <w:highlight w:val="none"/>
                <w:lang w:eastAsia="zh-CN"/>
              </w:rPr>
              <w:t>ATG 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highlight w:val="none"/>
                <w:lang w:eastAsia="en-GB"/>
              </w:rPr>
            </w:pPr>
            <w:r>
              <w:rPr>
                <w:color w:val="FF0000"/>
                <w:highlight w:val="none"/>
                <w:lang w:eastAsia="zh-CN"/>
              </w:rPr>
              <w:t>100MHz</w:t>
            </w:r>
          </w:p>
          <w:p>
            <w:pPr>
              <w:pStyle w:val="35"/>
              <w:rPr>
                <w:color w:val="FF0000"/>
                <w:highlight w:val="none"/>
                <w:lang w:eastAsia="zh-CN"/>
              </w:rPr>
            </w:pPr>
            <w:r>
              <w:rPr>
                <w:color w:val="FF0000"/>
                <w:highlight w:val="none"/>
                <w:lang w:eastAsia="zh-CN"/>
              </w:rPr>
              <w:t>TDD</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highlight w:val="none"/>
                <w:lang w:eastAsia="zh-CN"/>
              </w:rPr>
            </w:pPr>
            <w:r>
              <w:rPr>
                <w:color w:val="FF0000"/>
                <w:highlight w:val="none"/>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FF0000"/>
                <w:highlight w:val="none"/>
                <w:lang w:eastAsia="en-GB"/>
              </w:rPr>
            </w:pPr>
            <w:r>
              <w:rPr>
                <w:color w:val="FF0000"/>
                <w:highlight w:val="none"/>
                <w:lang w:eastAsia="zh-CN"/>
              </w:rPr>
              <w:t>100MHz</w:t>
            </w:r>
          </w:p>
          <w:p>
            <w:pPr>
              <w:pStyle w:val="35"/>
              <w:rPr>
                <w:color w:val="FF0000"/>
                <w:highlight w:val="none"/>
                <w:lang w:val="en-US" w:eastAsia="zh-CN"/>
              </w:rPr>
            </w:pPr>
            <w:r>
              <w:rPr>
                <w:color w:val="FF0000"/>
                <w:highlight w:val="none"/>
                <w:lang w:eastAsia="zh-CN"/>
              </w:rPr>
              <w:t>TDD</w:t>
            </w:r>
          </w:p>
        </w:tc>
        <w:tc>
          <w:tcPr>
            <w:tcW w:w="6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highlight w:val="none"/>
                <w:lang w:val="en-US" w:eastAsia="zh-CN"/>
              </w:rPr>
            </w:pPr>
            <w:r>
              <w:rPr>
                <w:color w:val="FF0000"/>
                <w:highlight w:val="none"/>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highlight w:val="none"/>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highlight w:val="none"/>
                <w:lang w:val="en-US" w:eastAsia="zh-CN"/>
              </w:rPr>
            </w:pPr>
            <w:r>
              <w:rPr>
                <w:color w:val="FF0000"/>
                <w:highlight w:val="none"/>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color w:val="auto"/>
                <w:highlight w:val="none"/>
                <w:lang w:eastAsia="zh-CN"/>
              </w:rPr>
            </w:pPr>
            <w:r>
              <w:rPr>
                <w:rFonts w:eastAsia="宋体"/>
                <w:color w:val="auto"/>
                <w:highlight w:val="none"/>
                <w:lang w:eastAsia="zh-CN"/>
              </w:rPr>
              <w:t>7</w:t>
            </w:r>
          </w:p>
        </w:tc>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color w:val="auto"/>
                <w:highlight w:val="none"/>
                <w:lang w:eastAsia="en-GB"/>
              </w:rPr>
            </w:pPr>
            <w:r>
              <w:rPr>
                <w:color w:val="auto"/>
                <w:highlight w:val="none"/>
              </w:rPr>
              <w:t xml:space="preserve">TN with </w:t>
            </w:r>
            <w:r>
              <w:rPr>
                <w:rFonts w:eastAsia="宋体"/>
                <w:color w:val="auto"/>
                <w:highlight w:val="none"/>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kern w:val="2"/>
                <w:szCs w:val="24"/>
                <w:highlight w:val="none"/>
                <w:lang w:eastAsia="zh-CN"/>
              </w:rPr>
            </w:pPr>
            <w:r>
              <w:rPr>
                <w:rFonts w:eastAsia="宋体"/>
                <w:color w:val="auto"/>
                <w:highlight w:val="none"/>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highlight w:val="none"/>
                <w:lang w:eastAsia="en-GB"/>
              </w:rPr>
            </w:pPr>
            <w:r>
              <w:rPr>
                <w:color w:val="auto"/>
                <w:highlight w:val="none"/>
              </w:rPr>
              <w:t>100MHz</w:t>
            </w:r>
          </w:p>
          <w:p>
            <w:pPr>
              <w:pStyle w:val="35"/>
              <w:rPr>
                <w:rFonts w:eastAsia="宋体"/>
                <w:color w:val="auto"/>
                <w:kern w:val="2"/>
                <w:szCs w:val="24"/>
                <w:highlight w:val="none"/>
                <w:lang w:eastAsia="zh-CN"/>
              </w:rPr>
            </w:pPr>
            <w:r>
              <w:rPr>
                <w:color w:val="auto"/>
                <w:highlight w:val="none"/>
              </w:rPr>
              <w:t>TDD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宋体"/>
                <w:color w:val="auto"/>
                <w:kern w:val="2"/>
                <w:szCs w:val="24"/>
                <w:highlight w:val="none"/>
                <w:lang w:eastAsia="zh-CN"/>
              </w:rPr>
            </w:pPr>
            <w:r>
              <w:rPr>
                <w:rFonts w:eastAsia="宋体"/>
                <w:color w:val="auto"/>
                <w:highlight w:val="none"/>
                <w:lang w:eastAsia="zh-CN"/>
              </w:rPr>
              <w:t xml:space="preserve">ATG </w:t>
            </w:r>
            <w:r>
              <w:rPr>
                <w:color w:val="auto"/>
                <w:highlight w:val="none"/>
              </w:rPr>
              <w:t>UL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color w:val="auto"/>
                <w:highlight w:val="none"/>
                <w:lang w:eastAsia="en-GB"/>
              </w:rPr>
            </w:pPr>
            <w:r>
              <w:rPr>
                <w:color w:val="auto"/>
                <w:highlight w:val="none"/>
              </w:rPr>
              <w:t>100MHz</w:t>
            </w:r>
          </w:p>
          <w:p>
            <w:pPr>
              <w:pStyle w:val="36"/>
              <w:jc w:val="center"/>
              <w:textAlignment w:val="baseline"/>
              <w:rPr>
                <w:bCs/>
                <w:color w:val="auto"/>
                <w:highlight w:val="none"/>
                <w:lang w:val="en-US" w:eastAsia="zh-CN"/>
              </w:rPr>
            </w:pPr>
            <w:r>
              <w:rPr>
                <w:rFonts w:eastAsia="Yu Mincho"/>
                <w:color w:val="auto"/>
                <w:highlight w:val="none"/>
              </w:rPr>
              <w:t>TDD</w:t>
            </w:r>
          </w:p>
        </w:tc>
        <w:tc>
          <w:tcPr>
            <w:tcW w:w="634"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bCs/>
                <w:color w:val="auto"/>
                <w:highlight w:val="none"/>
                <w:lang w:val="en-US" w:eastAsia="zh-CN"/>
              </w:rPr>
            </w:pPr>
            <w:r>
              <w:rPr>
                <w:bCs/>
                <w:color w:val="auto"/>
                <w:highlight w:val="none"/>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rFonts w:eastAsia="Yu Mincho"/>
                <w:b/>
                <w:color w:val="auto"/>
                <w:kern w:val="2"/>
                <w:szCs w:val="24"/>
                <w:highlight w:val="none"/>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color w:val="auto"/>
                <w:kern w:val="2"/>
                <w:szCs w:val="24"/>
                <w:highlight w:val="none"/>
                <w:lang w:val="en-US" w:eastAsia="zh-CN"/>
              </w:rPr>
            </w:pPr>
            <w:r>
              <w:rPr>
                <w:rFonts w:eastAsia="宋体"/>
                <w:color w:val="auto"/>
                <w:kern w:val="2"/>
                <w:szCs w:val="24"/>
                <w:highlight w:val="none"/>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宋体"/>
                <w:color w:val="FF0000"/>
                <w:highlight w:val="none"/>
                <w:lang w:eastAsia="zh-CN"/>
              </w:rPr>
            </w:pPr>
            <w:r>
              <w:rPr>
                <w:rFonts w:eastAsia="宋体"/>
                <w:color w:val="FF0000"/>
                <w:highlight w:val="none"/>
                <w:lang w:eastAsia="zh-CN"/>
              </w:rPr>
              <w:t>8</w:t>
            </w:r>
          </w:p>
        </w:tc>
        <w:tc>
          <w:tcPr>
            <w:tcW w:w="7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0000"/>
                <w:highlight w:val="none"/>
                <w:lang w:eastAsia="en-GB"/>
              </w:rPr>
            </w:pPr>
            <w:r>
              <w:rPr>
                <w:color w:val="FF0000"/>
                <w:highlight w:val="none"/>
              </w:rPr>
              <w:t xml:space="preserve">TN with </w:t>
            </w:r>
            <w:r>
              <w:rPr>
                <w:rFonts w:eastAsia="宋体"/>
                <w:color w:val="FF0000"/>
                <w:highlight w:val="none"/>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color w:val="FF0000"/>
                <w:kern w:val="2"/>
                <w:szCs w:val="24"/>
                <w:highlight w:val="none"/>
                <w:lang w:eastAsia="zh-CN"/>
              </w:rPr>
            </w:pPr>
            <w:r>
              <w:rPr>
                <w:rFonts w:eastAsia="宋体"/>
                <w:color w:val="FF0000"/>
                <w:highlight w:val="none"/>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color w:val="FF0000"/>
                <w:highlight w:val="none"/>
                <w:lang w:eastAsia="en-GB"/>
              </w:rPr>
            </w:pPr>
            <w:r>
              <w:rPr>
                <w:color w:val="FF0000"/>
                <w:highlight w:val="none"/>
              </w:rPr>
              <w:t>100MHz</w:t>
            </w:r>
          </w:p>
          <w:p>
            <w:pPr>
              <w:pStyle w:val="35"/>
              <w:rPr>
                <w:rFonts w:eastAsia="宋体"/>
                <w:color w:val="FF0000"/>
                <w:kern w:val="2"/>
                <w:szCs w:val="24"/>
                <w:highlight w:val="none"/>
                <w:lang w:eastAsia="zh-CN"/>
              </w:rPr>
            </w:pPr>
            <w:r>
              <w:rPr>
                <w:color w:val="FF0000"/>
                <w:highlight w:val="none"/>
              </w:rPr>
              <w:t>TDD</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宋体"/>
                <w:color w:val="FF0000"/>
                <w:kern w:val="2"/>
                <w:szCs w:val="24"/>
                <w:highlight w:val="none"/>
                <w:lang w:eastAsia="zh-CN"/>
              </w:rPr>
            </w:pPr>
            <w:r>
              <w:rPr>
                <w:rFonts w:eastAsia="宋体"/>
                <w:color w:val="FF0000"/>
                <w:highlight w:val="none"/>
                <w:lang w:eastAsia="zh-CN"/>
              </w:rPr>
              <w:t xml:space="preserve">ATG </w:t>
            </w:r>
            <w:r>
              <w:rPr>
                <w:color w:val="FF0000"/>
                <w:highlight w:val="none"/>
              </w:rPr>
              <w:t>DL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0000"/>
                <w:highlight w:val="none"/>
                <w:lang w:eastAsia="en-GB"/>
              </w:rPr>
            </w:pPr>
            <w:r>
              <w:rPr>
                <w:color w:val="FF0000"/>
                <w:highlight w:val="none"/>
              </w:rPr>
              <w:t>100MHz</w:t>
            </w:r>
          </w:p>
          <w:p>
            <w:pPr>
              <w:pStyle w:val="36"/>
              <w:jc w:val="center"/>
              <w:textAlignment w:val="baseline"/>
              <w:rPr>
                <w:bCs/>
                <w:color w:val="FF0000"/>
                <w:highlight w:val="none"/>
                <w:lang w:val="en-US" w:eastAsia="zh-CN"/>
              </w:rPr>
            </w:pPr>
            <w:r>
              <w:rPr>
                <w:rFonts w:eastAsia="Yu Mincho"/>
                <w:color w:val="FF0000"/>
                <w:highlight w:val="none"/>
              </w:rPr>
              <w:t>TDD</w:t>
            </w:r>
          </w:p>
        </w:tc>
        <w:tc>
          <w:tcPr>
            <w:tcW w:w="6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bCs/>
                <w:color w:val="FF0000"/>
                <w:highlight w:val="none"/>
                <w:lang w:val="en-US" w:eastAsia="zh-CN"/>
              </w:rPr>
            </w:pPr>
            <w:r>
              <w:rPr>
                <w:bCs/>
                <w:color w:val="FF0000"/>
                <w:highlight w:val="none"/>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rFonts w:eastAsia="Yu Mincho"/>
                <w:b/>
                <w:color w:val="FF0000"/>
                <w:kern w:val="2"/>
                <w:szCs w:val="24"/>
                <w:highlight w:val="none"/>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0000"/>
                <w:kern w:val="2"/>
                <w:szCs w:val="24"/>
                <w:highlight w:val="none"/>
                <w:lang w:val="en-US" w:eastAsia="zh-CN"/>
              </w:rPr>
            </w:pPr>
            <w:r>
              <w:rPr>
                <w:rFonts w:eastAsia="宋体"/>
                <w:color w:val="FF0000"/>
                <w:kern w:val="2"/>
                <w:szCs w:val="24"/>
                <w:highlight w:val="none"/>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color w:val="auto"/>
                <w:highlight w:val="none"/>
                <w:lang w:eastAsia="zh-CN"/>
              </w:rPr>
            </w:pPr>
            <w:r>
              <w:rPr>
                <w:rFonts w:eastAsia="宋体"/>
                <w:color w:val="auto"/>
                <w:highlight w:val="none"/>
                <w:lang w:eastAsia="zh-CN"/>
              </w:rPr>
              <w:t>9</w:t>
            </w:r>
          </w:p>
        </w:tc>
        <w:tc>
          <w:tcPr>
            <w:tcW w:w="7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color w:val="auto"/>
                <w:highlight w:val="none"/>
                <w:lang w:eastAsia="en-GB"/>
              </w:rPr>
            </w:pPr>
            <w:r>
              <w:rPr>
                <w:color w:val="auto"/>
                <w:highlight w:val="none"/>
              </w:rPr>
              <w:t xml:space="preserve">TN with </w:t>
            </w:r>
            <w:r>
              <w:rPr>
                <w:rFonts w:eastAsia="宋体"/>
                <w:color w:val="auto"/>
                <w:highlight w:val="none"/>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kern w:val="2"/>
                <w:szCs w:val="24"/>
                <w:highlight w:val="none"/>
                <w:lang w:eastAsia="zh-CN"/>
              </w:rPr>
            </w:pPr>
            <w:r>
              <w:rPr>
                <w:rFonts w:eastAsia="宋体"/>
                <w:color w:val="auto"/>
                <w:highlight w:val="none"/>
                <w:lang w:eastAsia="zh-CN"/>
              </w:rPr>
              <w:t xml:space="preserve">ATG </w:t>
            </w:r>
            <w:r>
              <w:rPr>
                <w:color w:val="auto"/>
                <w:highlight w:val="none"/>
              </w:rPr>
              <w:t>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宋体"/>
                <w:color w:val="auto"/>
                <w:kern w:val="2"/>
                <w:szCs w:val="24"/>
                <w:highlight w:val="none"/>
                <w:lang w:eastAsia="zh-CN"/>
              </w:rPr>
            </w:pPr>
            <w:r>
              <w:rPr>
                <w:color w:val="auto"/>
                <w:highlight w:val="none"/>
              </w:rPr>
              <w:t>20MHz FDD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宋体"/>
                <w:color w:val="auto"/>
                <w:kern w:val="2"/>
                <w:szCs w:val="24"/>
                <w:highlight w:val="none"/>
                <w:lang w:eastAsia="zh-CN"/>
              </w:rPr>
            </w:pPr>
            <w:r>
              <w:rPr>
                <w:rFonts w:eastAsia="宋体"/>
                <w:color w:val="auto"/>
                <w:highlight w:val="none"/>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6"/>
              <w:jc w:val="center"/>
              <w:textAlignment w:val="baseline"/>
              <w:rPr>
                <w:rFonts w:eastAsia="宋体"/>
                <w:bCs/>
                <w:color w:val="auto"/>
                <w:szCs w:val="18"/>
                <w:highlight w:val="none"/>
                <w:lang w:val="en-US" w:eastAsia="zh-CN"/>
              </w:rPr>
            </w:pPr>
            <w:r>
              <w:rPr>
                <w:rFonts w:eastAsia="Yu Mincho"/>
                <w:color w:val="auto"/>
                <w:highlight w:val="none"/>
              </w:rPr>
              <w:t>20MHz FDD</w:t>
            </w:r>
          </w:p>
        </w:tc>
        <w:tc>
          <w:tcPr>
            <w:tcW w:w="6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6"/>
              <w:jc w:val="center"/>
              <w:textAlignment w:val="baseline"/>
              <w:rPr>
                <w:bCs/>
                <w:color w:val="auto"/>
                <w:highlight w:val="none"/>
                <w:lang w:val="en-US" w:eastAsia="zh-CN"/>
              </w:rPr>
            </w:pPr>
            <w:r>
              <w:rPr>
                <w:bCs/>
                <w:color w:val="auto"/>
                <w:highlight w:val="none"/>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6"/>
              <w:jc w:val="center"/>
              <w:textAlignment w:val="baseline"/>
              <w:rPr>
                <w:rFonts w:eastAsia="Yu Mincho"/>
                <w:b/>
                <w:color w:val="auto"/>
                <w:kern w:val="2"/>
                <w:szCs w:val="24"/>
                <w:highlight w:val="none"/>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color w:val="auto"/>
                <w:kern w:val="2"/>
                <w:szCs w:val="24"/>
                <w:highlight w:val="none"/>
                <w:lang w:val="en-US" w:eastAsia="zh-CN"/>
              </w:rPr>
            </w:pPr>
            <w:r>
              <w:rPr>
                <w:color w:val="auto"/>
                <w:highlight w:val="none"/>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highlight w:val="none"/>
                <w:lang w:eastAsia="zh-CN"/>
              </w:rPr>
            </w:pPr>
            <w:r>
              <w:rPr>
                <w:color w:val="0000FF"/>
                <w:highlight w:val="none"/>
                <w:lang w:eastAsia="zh-CN"/>
              </w:rPr>
              <w:t>10</w:t>
            </w:r>
          </w:p>
        </w:tc>
        <w:tc>
          <w:tcPr>
            <w:tcW w:w="7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highlight w:val="none"/>
                <w:lang w:eastAsia="en-GB"/>
              </w:rPr>
            </w:pPr>
            <w:r>
              <w:rPr>
                <w:color w:val="0000FF"/>
                <w:highlight w:val="none"/>
                <w:lang w:eastAsia="zh-CN"/>
              </w:rPr>
              <w:t>TN with ATG</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highlight w:val="none"/>
                <w:lang w:eastAsia="zh-CN"/>
              </w:rPr>
            </w:pPr>
            <w:r>
              <w:rPr>
                <w:color w:val="0000FF"/>
                <w:highlight w:val="none"/>
                <w:lang w:eastAsia="zh-CN"/>
              </w:rPr>
              <w:t>ATG 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0000FF"/>
                <w:highlight w:val="none"/>
                <w:lang w:eastAsia="zh-CN"/>
              </w:rPr>
            </w:pPr>
            <w:r>
              <w:rPr>
                <w:color w:val="0000FF"/>
                <w:highlight w:val="none"/>
                <w:lang w:eastAsia="zh-CN"/>
              </w:rPr>
              <w:t>20MHz FDD</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highlight w:val="none"/>
                <w:lang w:eastAsia="zh-CN"/>
              </w:rPr>
            </w:pPr>
            <w:r>
              <w:rPr>
                <w:color w:val="0000FF"/>
                <w:highlight w:val="none"/>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0000FF"/>
                <w:highlight w:val="none"/>
                <w:lang w:val="en-US" w:eastAsia="zh-CN"/>
              </w:rPr>
            </w:pPr>
            <w:r>
              <w:rPr>
                <w:color w:val="0000FF"/>
                <w:highlight w:val="none"/>
                <w:lang w:eastAsia="zh-CN"/>
              </w:rPr>
              <w:t>20MHz FDD</w:t>
            </w:r>
          </w:p>
        </w:tc>
        <w:tc>
          <w:tcPr>
            <w:tcW w:w="6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highlight w:val="none"/>
                <w:lang w:val="en-US" w:eastAsia="zh-CN"/>
              </w:rPr>
            </w:pPr>
            <w:r>
              <w:rPr>
                <w:color w:val="0000FF"/>
                <w:highlight w:val="none"/>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highlight w:val="none"/>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highlight w:val="none"/>
                <w:lang w:val="en-US" w:eastAsia="zh-CN"/>
              </w:rPr>
            </w:pPr>
            <w:r>
              <w:rPr>
                <w:color w:val="0000FF"/>
                <w:highlight w:val="none"/>
                <w:lang w:eastAsia="zh-CN"/>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宋体"/>
                <w:color w:val="FFC000"/>
                <w:highlight w:val="none"/>
                <w:lang w:eastAsia="zh-CN"/>
              </w:rPr>
            </w:pPr>
            <w:r>
              <w:rPr>
                <w:rFonts w:eastAsia="宋体"/>
                <w:color w:val="FFC000"/>
                <w:highlight w:val="none"/>
                <w:lang w:eastAsia="zh-CN"/>
              </w:rPr>
              <w:t>11</w:t>
            </w:r>
          </w:p>
        </w:tc>
        <w:tc>
          <w:tcPr>
            <w:tcW w:w="7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C000"/>
                <w:highlight w:val="none"/>
                <w:lang w:eastAsia="en-GB"/>
              </w:rPr>
            </w:pPr>
            <w:r>
              <w:rPr>
                <w:color w:val="FFC000"/>
                <w:highlight w:val="none"/>
              </w:rPr>
              <w:t xml:space="preserve">TN with </w:t>
            </w:r>
            <w:r>
              <w:rPr>
                <w:rFonts w:eastAsia="宋体"/>
                <w:color w:val="FFC000"/>
                <w:highlight w:val="none"/>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color w:val="FFC000"/>
                <w:kern w:val="2"/>
                <w:szCs w:val="24"/>
                <w:highlight w:val="none"/>
                <w:lang w:eastAsia="zh-CN"/>
              </w:rPr>
            </w:pPr>
            <w:r>
              <w:rPr>
                <w:rFonts w:eastAsia="宋体"/>
                <w:color w:val="FFC000"/>
                <w:highlight w:val="none"/>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rFonts w:eastAsia="宋体"/>
                <w:color w:val="FFC000"/>
                <w:kern w:val="2"/>
                <w:szCs w:val="24"/>
                <w:highlight w:val="none"/>
                <w:lang w:eastAsia="zh-CN"/>
              </w:rPr>
            </w:pPr>
            <w:r>
              <w:rPr>
                <w:color w:val="FFC000"/>
                <w:highlight w:val="none"/>
              </w:rPr>
              <w:t>20MHz FDD</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rFonts w:eastAsia="宋体"/>
                <w:color w:val="FFC000"/>
                <w:kern w:val="2"/>
                <w:szCs w:val="24"/>
                <w:highlight w:val="none"/>
                <w:lang w:eastAsia="zh-CN"/>
              </w:rPr>
            </w:pPr>
            <w:r>
              <w:rPr>
                <w:rFonts w:eastAsia="宋体"/>
                <w:color w:val="FFC000"/>
                <w:highlight w:val="none"/>
                <w:lang w:eastAsia="zh-CN"/>
              </w:rPr>
              <w:t xml:space="preserve">ATG </w:t>
            </w:r>
            <w:r>
              <w:rPr>
                <w:color w:val="FFC000"/>
                <w:highlight w:val="none"/>
              </w:rPr>
              <w:t>DL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6"/>
              <w:jc w:val="center"/>
              <w:textAlignment w:val="baseline"/>
              <w:rPr>
                <w:rFonts w:eastAsia="宋体"/>
                <w:bCs/>
                <w:color w:val="FFC000"/>
                <w:szCs w:val="18"/>
                <w:highlight w:val="none"/>
                <w:lang w:val="en-US" w:eastAsia="zh-CN"/>
              </w:rPr>
            </w:pPr>
            <w:r>
              <w:rPr>
                <w:rFonts w:eastAsia="Yu Mincho"/>
                <w:color w:val="FFC000"/>
                <w:highlight w:val="none"/>
              </w:rPr>
              <w:t>20MHz FDD</w:t>
            </w:r>
          </w:p>
        </w:tc>
        <w:tc>
          <w:tcPr>
            <w:tcW w:w="6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bCs/>
                <w:color w:val="FFC000"/>
                <w:highlight w:val="none"/>
                <w:lang w:val="en-US" w:eastAsia="zh-CN"/>
              </w:rPr>
            </w:pPr>
            <w:r>
              <w:rPr>
                <w:bCs/>
                <w:color w:val="FFC000"/>
                <w:highlight w:val="none"/>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rFonts w:eastAsia="Yu Mincho"/>
                <w:b/>
                <w:color w:val="FFC000"/>
                <w:kern w:val="2"/>
                <w:szCs w:val="24"/>
                <w:highlight w:val="none"/>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C000"/>
                <w:kern w:val="2"/>
                <w:szCs w:val="24"/>
                <w:highlight w:val="none"/>
                <w:lang w:val="en-US" w:eastAsia="zh-CN"/>
              </w:rPr>
            </w:pPr>
            <w:r>
              <w:rPr>
                <w:color w:val="FFC000"/>
                <w:highlight w:val="none"/>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color w:val="auto"/>
                <w:highlight w:val="none"/>
                <w:lang w:eastAsia="zh-CN"/>
              </w:rPr>
            </w:pPr>
            <w:r>
              <w:rPr>
                <w:rFonts w:eastAsia="宋体"/>
                <w:color w:val="auto"/>
                <w:highlight w:val="none"/>
                <w:lang w:eastAsia="zh-CN"/>
              </w:rPr>
              <w:t>12</w:t>
            </w:r>
          </w:p>
        </w:tc>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color w:val="auto"/>
                <w:highlight w:val="none"/>
                <w:lang w:eastAsia="en-GB"/>
              </w:rPr>
            </w:pPr>
            <w:r>
              <w:rPr>
                <w:color w:val="auto"/>
                <w:highlight w:val="none"/>
              </w:rPr>
              <w:t xml:space="preserve">TN with </w:t>
            </w:r>
            <w:r>
              <w:rPr>
                <w:rFonts w:eastAsia="宋体"/>
                <w:color w:val="auto"/>
                <w:highlight w:val="none"/>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color w:val="auto"/>
                <w:kern w:val="2"/>
                <w:szCs w:val="24"/>
                <w:highlight w:val="none"/>
                <w:lang w:eastAsia="zh-CN"/>
              </w:rPr>
            </w:pPr>
            <w:r>
              <w:rPr>
                <w:rFonts w:eastAsia="宋体"/>
                <w:color w:val="auto"/>
                <w:highlight w:val="none"/>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color w:val="auto"/>
                <w:kern w:val="2"/>
                <w:szCs w:val="24"/>
                <w:highlight w:val="none"/>
                <w:lang w:eastAsia="zh-CN"/>
              </w:rPr>
            </w:pPr>
            <w:r>
              <w:rPr>
                <w:color w:val="auto"/>
                <w:highlight w:val="none"/>
              </w:rPr>
              <w:t>20MHz FDD</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color w:val="auto"/>
                <w:kern w:val="2"/>
                <w:szCs w:val="24"/>
                <w:highlight w:val="none"/>
                <w:lang w:eastAsia="zh-CN"/>
              </w:rPr>
            </w:pPr>
            <w:r>
              <w:rPr>
                <w:rFonts w:eastAsia="宋体"/>
                <w:color w:val="auto"/>
                <w:highlight w:val="none"/>
                <w:lang w:eastAsia="zh-CN"/>
              </w:rPr>
              <w:t xml:space="preserve">ATG </w:t>
            </w:r>
            <w:r>
              <w:rPr>
                <w:color w:val="auto"/>
                <w:highlight w:val="none"/>
              </w:rPr>
              <w:t>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rFonts w:eastAsia="宋体"/>
                <w:bCs/>
                <w:color w:val="auto"/>
                <w:szCs w:val="18"/>
                <w:highlight w:val="none"/>
                <w:lang w:val="en-US" w:eastAsia="zh-CN"/>
              </w:rPr>
            </w:pPr>
            <w:r>
              <w:rPr>
                <w:rFonts w:eastAsia="Yu Mincho"/>
                <w:color w:val="auto"/>
                <w:highlight w:val="none"/>
              </w:rPr>
              <w:t>20MHz FDD</w:t>
            </w:r>
          </w:p>
        </w:tc>
        <w:tc>
          <w:tcPr>
            <w:tcW w:w="634"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bCs/>
                <w:color w:val="auto"/>
                <w:highlight w:val="none"/>
                <w:lang w:val="en-US" w:eastAsia="zh-CN"/>
              </w:rPr>
            </w:pPr>
            <w:r>
              <w:rPr>
                <w:bCs/>
                <w:color w:val="auto"/>
                <w:highlight w:val="none"/>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rFonts w:eastAsia="Yu Mincho"/>
                <w:b/>
                <w:color w:val="auto"/>
                <w:kern w:val="2"/>
                <w:szCs w:val="24"/>
                <w:highlight w:val="none"/>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color w:val="auto"/>
                <w:kern w:val="2"/>
                <w:szCs w:val="24"/>
                <w:highlight w:val="none"/>
                <w:lang w:val="en-US" w:eastAsia="zh-CN"/>
              </w:rPr>
            </w:pPr>
            <w:r>
              <w:rPr>
                <w:color w:val="auto"/>
                <w:highlight w:val="none"/>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highlight w:val="none"/>
                <w:lang w:eastAsia="zh-CN"/>
              </w:rPr>
            </w:pPr>
            <w:r>
              <w:rPr>
                <w:color w:val="FF0000"/>
                <w:highlight w:val="none"/>
                <w:lang w:eastAsia="zh-CN"/>
              </w:rPr>
              <w:t>13</w:t>
            </w:r>
          </w:p>
        </w:tc>
        <w:tc>
          <w:tcPr>
            <w:tcW w:w="7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highlight w:val="none"/>
                <w:lang w:eastAsia="en-GB"/>
              </w:rPr>
            </w:pPr>
            <w:r>
              <w:rPr>
                <w:color w:val="FF0000"/>
                <w:highlight w:val="none"/>
                <w:lang w:eastAsia="zh-CN"/>
              </w:rPr>
              <w:t>TN with ATG</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highlight w:val="none"/>
                <w:lang w:eastAsia="zh-CN"/>
              </w:rPr>
            </w:pPr>
            <w:r>
              <w:rPr>
                <w:color w:val="FF0000"/>
                <w:highlight w:val="none"/>
                <w:lang w:eastAsia="zh-CN"/>
              </w:rPr>
              <w:t>ATG 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FF0000"/>
                <w:highlight w:val="none"/>
                <w:lang w:eastAsia="zh-CN"/>
              </w:rPr>
            </w:pPr>
            <w:r>
              <w:rPr>
                <w:color w:val="FF0000"/>
                <w:highlight w:val="none"/>
                <w:lang w:eastAsia="zh-CN"/>
              </w:rPr>
              <w:t>20MHz FDD</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highlight w:val="none"/>
                <w:lang w:eastAsia="zh-CN"/>
              </w:rPr>
            </w:pPr>
            <w:r>
              <w:rPr>
                <w:color w:val="FF0000"/>
                <w:highlight w:val="none"/>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FF0000"/>
                <w:highlight w:val="none"/>
                <w:lang w:val="en-US" w:eastAsia="zh-CN"/>
              </w:rPr>
            </w:pPr>
            <w:r>
              <w:rPr>
                <w:color w:val="FF0000"/>
                <w:highlight w:val="none"/>
                <w:lang w:eastAsia="zh-CN"/>
              </w:rPr>
              <w:t>20MHz TDD</w:t>
            </w:r>
          </w:p>
        </w:tc>
        <w:tc>
          <w:tcPr>
            <w:tcW w:w="6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highlight w:val="none"/>
                <w:lang w:val="en-US" w:eastAsia="zh-CN"/>
              </w:rPr>
            </w:pPr>
            <w:r>
              <w:rPr>
                <w:color w:val="FF0000"/>
                <w:highlight w:val="none"/>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highlight w:val="none"/>
                <w:lang w:val="en-US" w:eastAsia="zh-CN"/>
              </w:rPr>
            </w:pPr>
            <w:r>
              <w:rPr>
                <w:color w:val="FF0000"/>
                <w:highlight w:val="none"/>
                <w:lang w:val="en-US" w:eastAsia="zh-CN"/>
              </w:rPr>
              <w:t>n1/n39</w:t>
            </w:r>
          </w:p>
        </w:tc>
        <w:tc>
          <w:tcPr>
            <w:tcW w:w="418"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highlight w:val="none"/>
                <w:lang w:val="en-US" w:eastAsia="zh-CN"/>
              </w:rPr>
            </w:pPr>
            <w:r>
              <w:rPr>
                <w:color w:val="FF0000"/>
                <w:highlight w:val="none"/>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color w:val="auto"/>
                <w:highlight w:val="none"/>
                <w:lang w:eastAsia="zh-CN"/>
              </w:rPr>
            </w:pPr>
            <w:r>
              <w:rPr>
                <w:rFonts w:eastAsia="宋体"/>
                <w:color w:val="auto"/>
                <w:highlight w:val="none"/>
                <w:lang w:eastAsia="zh-CN"/>
              </w:rPr>
              <w:t>14</w:t>
            </w:r>
          </w:p>
        </w:tc>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color w:val="auto"/>
                <w:highlight w:val="none"/>
                <w:lang w:eastAsia="en-GB"/>
              </w:rPr>
            </w:pPr>
            <w:r>
              <w:rPr>
                <w:color w:val="auto"/>
                <w:highlight w:val="none"/>
              </w:rPr>
              <w:t xml:space="preserve">TN with </w:t>
            </w:r>
            <w:r>
              <w:rPr>
                <w:rFonts w:eastAsia="宋体"/>
                <w:color w:val="auto"/>
                <w:highlight w:val="none"/>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kern w:val="2"/>
                <w:szCs w:val="24"/>
                <w:highlight w:val="none"/>
                <w:lang w:eastAsia="zh-CN"/>
              </w:rPr>
            </w:pPr>
            <w:r>
              <w:rPr>
                <w:rFonts w:eastAsia="宋体"/>
                <w:color w:val="auto"/>
                <w:highlight w:val="none"/>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color w:val="auto"/>
                <w:kern w:val="2"/>
                <w:szCs w:val="24"/>
                <w:highlight w:val="none"/>
                <w:lang w:eastAsia="zh-CN"/>
              </w:rPr>
            </w:pPr>
            <w:r>
              <w:rPr>
                <w:color w:val="auto"/>
                <w:highlight w:val="none"/>
              </w:rPr>
              <w:t>20MHz TDD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宋体"/>
                <w:color w:val="auto"/>
                <w:kern w:val="2"/>
                <w:szCs w:val="24"/>
                <w:highlight w:val="none"/>
                <w:lang w:eastAsia="zh-CN"/>
              </w:rPr>
            </w:pPr>
            <w:r>
              <w:rPr>
                <w:rFonts w:eastAsia="宋体"/>
                <w:color w:val="auto"/>
                <w:highlight w:val="none"/>
                <w:lang w:eastAsia="zh-CN"/>
              </w:rPr>
              <w:t xml:space="preserve">ATG </w:t>
            </w:r>
            <w:r>
              <w:rPr>
                <w:color w:val="auto"/>
                <w:highlight w:val="none"/>
              </w:rPr>
              <w:t>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rFonts w:eastAsia="宋体"/>
                <w:bCs/>
                <w:color w:val="auto"/>
                <w:szCs w:val="18"/>
                <w:highlight w:val="none"/>
                <w:lang w:val="en-US" w:eastAsia="zh-CN"/>
              </w:rPr>
            </w:pPr>
            <w:r>
              <w:rPr>
                <w:rFonts w:eastAsia="Yu Mincho"/>
                <w:color w:val="auto"/>
                <w:highlight w:val="none"/>
              </w:rPr>
              <w:t>20MHz FDD</w:t>
            </w:r>
          </w:p>
        </w:tc>
        <w:tc>
          <w:tcPr>
            <w:tcW w:w="634"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bCs/>
                <w:color w:val="auto"/>
                <w:highlight w:val="none"/>
                <w:lang w:val="en-US" w:eastAsia="zh-CN"/>
              </w:rPr>
            </w:pPr>
            <w:r>
              <w:rPr>
                <w:bCs/>
                <w:color w:val="auto"/>
                <w:highlight w:val="none"/>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bCs/>
                <w:color w:val="auto"/>
                <w:highlight w:val="none"/>
                <w:lang w:val="en-US" w:eastAsia="zh-CN"/>
              </w:rPr>
            </w:pPr>
            <w:r>
              <w:rPr>
                <w:bCs/>
                <w:color w:val="auto"/>
                <w:highlight w:val="none"/>
                <w:lang w:val="en-US" w:eastAsia="zh-CN"/>
              </w:rPr>
              <w:t>n39/n1</w:t>
            </w: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color w:val="auto"/>
                <w:kern w:val="2"/>
                <w:szCs w:val="24"/>
                <w:highlight w:val="none"/>
                <w:lang w:val="en-US" w:eastAsia="zh-CN"/>
              </w:rPr>
            </w:pPr>
            <w:r>
              <w:rPr>
                <w:rFonts w:eastAsia="宋体"/>
                <w:color w:val="auto"/>
                <w:kern w:val="2"/>
                <w:szCs w:val="24"/>
                <w:highlight w:val="none"/>
                <w:lang w:eastAsia="zh-CN"/>
              </w:rPr>
              <w:t>FFS</w:t>
            </w:r>
          </w:p>
        </w:tc>
      </w:tr>
    </w:tbl>
    <w:p>
      <w:pPr>
        <w:widowControl w:val="0"/>
        <w:numPr>
          <w:ilvl w:val="2"/>
          <w:numId w:val="2"/>
        </w:numPr>
        <w:overflowPunct/>
        <w:autoSpaceDE/>
        <w:autoSpaceDN/>
        <w:adjustRightInd/>
        <w:spacing w:after="0"/>
        <w:jc w:val="both"/>
        <w:textAlignment w:val="auto"/>
        <w:rPr>
          <w:highlight w:val="none"/>
        </w:rPr>
      </w:pPr>
    </w:p>
    <w:p>
      <w:pPr>
        <w:pStyle w:val="54"/>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Discussion</w:t>
      </w:r>
    </w:p>
    <w:p>
      <w:pPr>
        <w:keepNext w:val="0"/>
        <w:keepLines w:val="0"/>
        <w:widowControl w:val="0"/>
        <w:adjustRightInd/>
        <w:spacing w:before="0" w:after="100" w:afterAutospacing="1"/>
        <w:jc w:val="left"/>
        <w:outlineLvl w:val="1"/>
        <w:rPr>
          <w:rFonts w:hint="default" w:ascii="Arial" w:hAnsi="Arial" w:eastAsia="宋体" w:cs="Arial"/>
          <w:sz w:val="28"/>
          <w:szCs w:val="28"/>
          <w:highlight w:val="none"/>
          <w:lang w:val="en-US" w:eastAsia="zh-CN"/>
        </w:rPr>
      </w:pPr>
      <w:r>
        <w:rPr>
          <w:rFonts w:hint="default" w:ascii="Arial" w:hAnsi="Arial" w:cs="Arial"/>
          <w:sz w:val="28"/>
          <w:szCs w:val="28"/>
          <w:highlight w:val="none"/>
          <w:lang w:val="en-US" w:eastAsia="zh-CN"/>
        </w:rPr>
        <w:t xml:space="preserve">2.1 </w:t>
      </w:r>
      <w:r>
        <w:rPr>
          <w:rFonts w:hint="eastAsia" w:ascii="Arial" w:hAnsi="Arial" w:cs="Arial"/>
          <w:sz w:val="28"/>
          <w:szCs w:val="28"/>
          <w:highlight w:val="none"/>
          <w:lang w:val="en-US" w:eastAsia="zh-CN"/>
        </w:rPr>
        <w:t>S</w:t>
      </w:r>
      <w:r>
        <w:rPr>
          <w:rFonts w:hint="default" w:ascii="Arial" w:hAnsi="Arial" w:cs="Arial"/>
          <w:sz w:val="28"/>
          <w:szCs w:val="28"/>
          <w:highlight w:val="none"/>
          <w:lang w:val="en-US" w:eastAsia="zh-CN"/>
        </w:rPr>
        <w:t>ync scenario</w:t>
      </w:r>
      <w:bookmarkStart w:id="1" w:name="OLE_LINK10"/>
      <w:bookmarkStart w:id="2" w:name="OLE_LINK14"/>
      <w:bookmarkStart w:id="3" w:name="OLE_LINK13"/>
      <w:bookmarkStart w:id="4" w:name="OLE_LINK20"/>
    </w:p>
    <w:p>
      <w:pPr>
        <w:keepNext w:val="0"/>
        <w:keepLines w:val="0"/>
        <w:pageBreakBefore w:val="0"/>
        <w:widowControl w:val="0"/>
        <w:kinsoku/>
        <w:wordWrap/>
        <w:overflowPunct/>
        <w:topLinePunct w:val="0"/>
        <w:autoSpaceDE/>
        <w:autoSpaceDN/>
        <w:bidi w:val="0"/>
        <w:adjustRightInd/>
        <w:snapToGrid/>
        <w:spacing w:before="0" w:beforeLines="-2147483648" w:after="100" w:afterLines="-2147483648" w:afterAutospacing="1" w:line="240" w:lineRule="auto"/>
        <w:jc w:val="left"/>
        <w:textAlignment w:val="auto"/>
        <w:outlineLvl w:val="2"/>
        <w:rPr>
          <w:rFonts w:hint="default" w:ascii="Arial" w:hAnsi="Arial" w:cs="Arial"/>
          <w:sz w:val="24"/>
          <w:szCs w:val="24"/>
          <w:highlight w:val="none"/>
          <w:lang w:val="en-US" w:eastAsia="zh-CN"/>
        </w:rPr>
      </w:pPr>
      <w:r>
        <w:rPr>
          <w:rFonts w:hint="default" w:ascii="Arial" w:hAnsi="Arial" w:cs="Arial"/>
          <w:sz w:val="24"/>
          <w:szCs w:val="24"/>
          <w:highlight w:val="none"/>
          <w:lang w:val="en-US" w:eastAsia="zh-CN"/>
        </w:rPr>
        <w:t>2.1.</w:t>
      </w:r>
      <w:r>
        <w:rPr>
          <w:rFonts w:hint="eastAsia" w:ascii="Arial" w:hAnsi="Arial" w:cs="Arial"/>
          <w:sz w:val="24"/>
          <w:szCs w:val="24"/>
          <w:highlight w:val="none"/>
          <w:lang w:val="en-US" w:eastAsia="zh-CN"/>
        </w:rPr>
        <w:t>1</w:t>
      </w:r>
      <w:r>
        <w:rPr>
          <w:rFonts w:hint="default" w:ascii="Arial" w:hAnsi="Arial" w:cs="Arial"/>
          <w:sz w:val="24"/>
          <w:szCs w:val="24"/>
          <w:highlight w:val="none"/>
          <w:lang w:val="en-US" w:eastAsia="zh-CN"/>
        </w:rPr>
        <w:t xml:space="preserve"> </w:t>
      </w:r>
      <w:r>
        <w:rPr>
          <w:rFonts w:hint="eastAsia" w:ascii="Arial" w:hAnsi="Arial" w:cs="Arial"/>
          <w:sz w:val="24"/>
          <w:szCs w:val="24"/>
          <w:highlight w:val="none"/>
          <w:lang w:val="en-US" w:eastAsia="zh-CN"/>
        </w:rPr>
        <w:t xml:space="preserve">Case 1,9 for </w:t>
      </w:r>
      <w:r>
        <w:rPr>
          <w:rFonts w:hint="default" w:ascii="Arial" w:hAnsi="Arial" w:cs="Arial"/>
          <w:sz w:val="24"/>
          <w:szCs w:val="24"/>
          <w:highlight w:val="none"/>
          <w:lang w:val="en-US" w:eastAsia="zh-CN"/>
        </w:rPr>
        <w:t xml:space="preserve">ACLR requirement </w:t>
      </w:r>
      <w:r>
        <w:rPr>
          <w:rFonts w:hint="eastAsia" w:ascii="Arial" w:hAnsi="Arial" w:cs="Arial"/>
          <w:sz w:val="24"/>
          <w:szCs w:val="24"/>
          <w:highlight w:val="none"/>
          <w:lang w:val="en-US" w:eastAsia="zh-CN"/>
        </w:rPr>
        <w:t>of</w:t>
      </w:r>
      <w:r>
        <w:rPr>
          <w:rFonts w:hint="default" w:ascii="Arial" w:hAnsi="Arial" w:cs="Arial"/>
          <w:sz w:val="24"/>
          <w:szCs w:val="24"/>
          <w:highlight w:val="none"/>
          <w:lang w:val="en-US" w:eastAsia="zh-CN"/>
        </w:rPr>
        <w:t xml:space="preserve"> ATG BS </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eastAsia="宋体"/>
          <w:highlight w:val="none"/>
          <w:lang w:val="en-US" w:eastAsia="zh-CN"/>
        </w:rPr>
      </w:pPr>
      <w:r>
        <w:rPr>
          <w:rFonts w:hint="eastAsia"/>
          <w:highlight w:val="none"/>
          <w:lang w:val="en-US" w:eastAsia="zh-CN"/>
        </w:rPr>
        <w:t>In the following Figure 1, we shared the concerned TN victim cells for the coexistence study in Case 1 and Case 9 which is supposed to be most affected cells.</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highlight w:val="none"/>
        </w:rPr>
      </w:pPr>
      <w:r>
        <w:rPr>
          <w:highlight w:val="none"/>
        </w:rPr>
        <w:drawing>
          <wp:inline distT="0" distB="0" distL="114300" distR="114300">
            <wp:extent cx="6188075" cy="4283075"/>
            <wp:effectExtent l="0" t="0" r="3175" b="3175"/>
            <wp:docPr id="4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15"/>
                    <pic:cNvPicPr>
                      <a:picLocks noChangeAspect="1"/>
                    </pic:cNvPicPr>
                  </pic:nvPicPr>
                  <pic:blipFill>
                    <a:blip r:embed="rId5"/>
                    <a:stretch>
                      <a:fillRect/>
                    </a:stretch>
                  </pic:blipFill>
                  <pic:spPr>
                    <a:xfrm>
                      <a:off x="0" y="0"/>
                      <a:ext cx="6188075" cy="4283075"/>
                    </a:xfrm>
                    <a:prstGeom prst="rect">
                      <a:avLst/>
                    </a:prstGeom>
                    <a:noFill/>
                    <a:ln>
                      <a:noFill/>
                    </a:ln>
                  </pic:spPr>
                </pic:pic>
              </a:graphicData>
            </a:graphic>
          </wp:inline>
        </w:drawing>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center"/>
        <w:textAlignment w:val="auto"/>
        <w:outlineLvl w:val="9"/>
        <w:rPr>
          <w:rFonts w:hint="default" w:eastAsia="宋体"/>
          <w:highlight w:val="none"/>
          <w:lang w:val="en-US" w:eastAsia="zh-CN"/>
        </w:rPr>
      </w:pPr>
      <w:r>
        <w:rPr>
          <w:rFonts w:hint="eastAsia"/>
          <w:highlight w:val="none"/>
          <w:lang w:val="en-US" w:eastAsia="zh-CN"/>
        </w:rPr>
        <w:t>Figure 1. the TN victim cells considered in the throughput loss</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Based on the simulation results obtained so far for Case 1 and Case 9 as shown in Figure 2 and Figure 3, ACI caused by ATG DL is still acceptable due to both the sparse deployment sites of ATG BS and its uptilt beamforming towards the aircraft in the sky. In short, based on the simulation results in Case 1 and Case 9 dominating the ATG BS DL ACLR requirement, it should be reasonable to reuse the legacy FR1 ACLR 45dBc requirement for ATG BS.</w:t>
      </w:r>
    </w:p>
    <w:p>
      <w:pPr>
        <w:autoSpaceDE/>
        <w:autoSpaceDN/>
        <w:adjustRightInd/>
        <w:snapToGrid/>
        <w:spacing w:before="0" w:beforeLines="-2147483648" w:after="0" w:afterLines="-2147483648" w:line="240" w:lineRule="auto"/>
        <w:jc w:val="center"/>
        <w:rPr>
          <w:highlight w:val="none"/>
        </w:rPr>
      </w:pPr>
      <w:r>
        <w:rPr>
          <w:highlight w:val="none"/>
        </w:rPr>
        <w:drawing>
          <wp:inline distT="0" distB="0" distL="114300" distR="114300">
            <wp:extent cx="3238500" cy="2428875"/>
            <wp:effectExtent l="0" t="0" r="0" b="952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pic:cNvPicPr>
                  </pic:nvPicPr>
                  <pic:blipFill>
                    <a:blip r:embed="rId6"/>
                    <a:stretch>
                      <a:fillRect/>
                    </a:stretch>
                  </pic:blipFill>
                  <pic:spPr>
                    <a:xfrm>
                      <a:off x="0" y="0"/>
                      <a:ext cx="3238500" cy="2428875"/>
                    </a:xfrm>
                    <a:prstGeom prst="rect">
                      <a:avLst/>
                    </a:prstGeom>
                    <a:noFill/>
                    <a:ln>
                      <a:noFill/>
                    </a:ln>
                  </pic:spPr>
                </pic:pic>
              </a:graphicData>
            </a:graphic>
          </wp:inline>
        </w:drawing>
      </w:r>
    </w:p>
    <w:p>
      <w:pPr>
        <w:autoSpaceDE/>
        <w:autoSpaceDN/>
        <w:adjustRightInd/>
        <w:snapToGrid/>
        <w:spacing w:before="0" w:beforeLines="-2147483648" w:after="0" w:afterLines="-2147483648" w:line="240" w:lineRule="auto"/>
        <w:jc w:val="center"/>
        <w:rPr>
          <w:rFonts w:hint="default" w:eastAsia="宋体"/>
          <w:highlight w:val="none"/>
          <w:lang w:val="en-US" w:eastAsia="zh-CN"/>
        </w:rPr>
      </w:pPr>
      <w:r>
        <w:rPr>
          <w:rFonts w:hint="eastAsia"/>
          <w:b/>
          <w:bCs/>
          <w:highlight w:val="none"/>
          <w:lang w:val="en-US" w:eastAsia="zh-CN"/>
        </w:rPr>
        <w:t>Figure 2</w:t>
      </w:r>
      <w:r>
        <w:rPr>
          <w:rFonts w:hint="eastAsia"/>
          <w:highlight w:val="none"/>
          <w:lang w:val="en-US" w:eastAsia="zh-CN"/>
        </w:rPr>
        <w:t>. simulation results for Case 1: ATG DL interfering TN DL @4GHz</w:t>
      </w:r>
    </w:p>
    <w:p>
      <w:pPr>
        <w:autoSpaceDE/>
        <w:autoSpaceDN/>
        <w:adjustRightInd/>
        <w:snapToGrid/>
        <w:spacing w:before="0" w:beforeLines="-2147483648" w:after="0" w:afterLines="-2147483648" w:line="240" w:lineRule="auto"/>
        <w:jc w:val="left"/>
        <w:rPr>
          <w:highlight w:val="none"/>
        </w:rPr>
      </w:pPr>
    </w:p>
    <w:p>
      <w:pPr>
        <w:pStyle w:val="52"/>
        <w:widowControl w:val="0"/>
        <w:numPr>
          <w:ilvl w:val="0"/>
          <w:numId w:val="0"/>
        </w:numPr>
        <w:jc w:val="center"/>
        <w:rPr>
          <w:highlight w:val="none"/>
        </w:rPr>
      </w:pPr>
      <w:r>
        <w:rPr>
          <w:highlight w:val="none"/>
        </w:rPr>
        <w:drawing>
          <wp:inline distT="0" distB="0" distL="114300" distR="114300">
            <wp:extent cx="3238500" cy="2428875"/>
            <wp:effectExtent l="0" t="0" r="0" b="952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pic:cNvPicPr>
                  </pic:nvPicPr>
                  <pic:blipFill>
                    <a:blip r:embed="rId7"/>
                    <a:stretch>
                      <a:fillRect/>
                    </a:stretch>
                  </pic:blipFill>
                  <pic:spPr>
                    <a:xfrm>
                      <a:off x="0" y="0"/>
                      <a:ext cx="3238500" cy="2428875"/>
                    </a:xfrm>
                    <a:prstGeom prst="rect">
                      <a:avLst/>
                    </a:prstGeom>
                    <a:noFill/>
                    <a:ln>
                      <a:noFill/>
                    </a:ln>
                  </pic:spPr>
                </pic:pic>
              </a:graphicData>
            </a:graphic>
          </wp:inline>
        </w:drawing>
      </w:r>
    </w:p>
    <w:p>
      <w:pPr>
        <w:autoSpaceDE/>
        <w:autoSpaceDN/>
        <w:adjustRightInd/>
        <w:snapToGrid/>
        <w:spacing w:before="0" w:beforeLines="-2147483648" w:after="0" w:afterLines="-2147483648" w:line="240" w:lineRule="auto"/>
        <w:jc w:val="center"/>
        <w:rPr>
          <w:rFonts w:hint="default" w:eastAsia="宋体"/>
          <w:highlight w:val="none"/>
          <w:lang w:val="en-US" w:eastAsia="zh-CN"/>
        </w:rPr>
      </w:pPr>
      <w:r>
        <w:rPr>
          <w:rFonts w:hint="eastAsia"/>
          <w:b/>
          <w:bCs/>
          <w:highlight w:val="none"/>
          <w:lang w:val="en-US" w:eastAsia="zh-CN"/>
        </w:rPr>
        <w:t>Figure 3</w:t>
      </w:r>
      <w:r>
        <w:rPr>
          <w:rFonts w:hint="eastAsia"/>
          <w:highlight w:val="none"/>
          <w:lang w:val="en-US" w:eastAsia="zh-CN"/>
        </w:rPr>
        <w:t>. simulation results for Case 9: ATG DL interfering TN DL @2GHz</w:t>
      </w:r>
    </w:p>
    <w:p>
      <w:pPr>
        <w:autoSpaceDE/>
        <w:autoSpaceDN/>
        <w:adjustRightInd/>
        <w:snapToGrid/>
        <w:spacing w:before="0" w:beforeLines="-2147483648" w:after="0" w:afterLines="-2147483648" w:line="240" w:lineRule="auto"/>
        <w:jc w:val="left"/>
        <w:rPr>
          <w:rFonts w:hint="default"/>
          <w:highlight w:val="none"/>
          <w:lang w:val="en-US" w:eastAsia="zh-CN"/>
        </w:rPr>
      </w:pP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highlight w:val="none"/>
          <w:lang w:val="en-US" w:eastAsia="zh-CN"/>
        </w:rPr>
      </w:pPr>
      <w:r>
        <w:rPr>
          <w:rFonts w:hint="eastAsia"/>
          <w:b/>
          <w:bCs/>
          <w:highlight w:val="none"/>
          <w:lang w:val="en-US" w:eastAsia="zh-CN"/>
        </w:rPr>
        <w:t>Observation 1:</w:t>
      </w:r>
      <w:r>
        <w:rPr>
          <w:rFonts w:hint="eastAsia"/>
          <w:highlight w:val="none"/>
          <w:lang w:val="en-US" w:eastAsia="zh-CN"/>
        </w:rPr>
        <w:t xml:space="preserve"> based on the simulation results in Case 1 and Case 9, it</w:t>
      </w:r>
      <w:r>
        <w:rPr>
          <w:rFonts w:hint="default"/>
          <w:highlight w:val="none"/>
          <w:lang w:val="en-US" w:eastAsia="zh-CN"/>
        </w:rPr>
        <w:t>’</w:t>
      </w:r>
      <w:r>
        <w:rPr>
          <w:rFonts w:hint="eastAsia"/>
          <w:highlight w:val="none"/>
          <w:lang w:val="en-US" w:eastAsia="zh-CN"/>
        </w:rPr>
        <w:t xml:space="preserve">s reasonable to </w:t>
      </w:r>
      <w:r>
        <w:rPr>
          <w:rFonts w:hint="eastAsia" w:cs="Times New Roman"/>
          <w:kern w:val="2"/>
          <w:sz w:val="21"/>
          <w:szCs w:val="22"/>
          <w:highlight w:val="none"/>
          <w:lang w:val="en-US" w:eastAsia="zh-CN" w:bidi="ar-SA"/>
        </w:rPr>
        <w:t>reuse the legacy FR1 ACLR 45dBc requirement for ATG BS.</w:t>
      </w:r>
    </w:p>
    <w:p>
      <w:pPr>
        <w:keepNext w:val="0"/>
        <w:keepLines w:val="0"/>
        <w:pageBreakBefore w:val="0"/>
        <w:widowControl w:val="0"/>
        <w:kinsoku/>
        <w:wordWrap/>
        <w:overflowPunct/>
        <w:topLinePunct w:val="0"/>
        <w:autoSpaceDE/>
        <w:autoSpaceDN/>
        <w:bidi w:val="0"/>
        <w:adjustRightInd/>
        <w:snapToGrid/>
        <w:spacing w:before="0" w:beforeLines="-2147483648" w:after="100" w:afterLines="-2147483648" w:afterAutospacing="1" w:line="240" w:lineRule="auto"/>
        <w:jc w:val="left"/>
        <w:textAlignment w:val="auto"/>
        <w:outlineLvl w:val="2"/>
        <w:rPr>
          <w:rFonts w:hint="default" w:ascii="Arial" w:hAnsi="Arial" w:cs="Arial"/>
          <w:sz w:val="24"/>
          <w:szCs w:val="24"/>
          <w:highlight w:val="none"/>
          <w:lang w:val="en-US" w:eastAsia="zh-CN"/>
        </w:rPr>
      </w:pPr>
      <w:r>
        <w:rPr>
          <w:rFonts w:hint="default" w:ascii="Arial" w:hAnsi="Arial" w:cs="Arial"/>
          <w:sz w:val="24"/>
          <w:szCs w:val="24"/>
          <w:highlight w:val="none"/>
          <w:lang w:val="en-US" w:eastAsia="zh-CN"/>
        </w:rPr>
        <w:t xml:space="preserve">2.1.2. Case 4, 12 for ACS requirement of ATG BS </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 xml:space="preserve">First of all, from our understanding, for Case 4 and Case 12, the TN BS and ATG BS are dropped in the same cluster should be worst case. </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Based on the simulation results obtained so far for Case 4 and Case 12 as shown in Figure 4 and Figure 5, it is be sufficient to reuse the legacy FR1 ACS 46dBc requirement for ATG BS.</w:t>
      </w:r>
    </w:p>
    <w:p>
      <w:pPr>
        <w:autoSpaceDE/>
        <w:autoSpaceDN/>
        <w:adjustRightInd/>
        <w:snapToGrid/>
        <w:spacing w:before="0" w:beforeLines="-2147483648" w:after="0" w:afterLines="-2147483648" w:line="240" w:lineRule="auto"/>
        <w:jc w:val="center"/>
        <w:rPr>
          <w:rFonts w:hint="default"/>
          <w:highlight w:val="none"/>
          <w:lang w:val="en-US" w:eastAsia="zh-CN"/>
        </w:rPr>
      </w:pPr>
    </w:p>
    <w:p>
      <w:pPr>
        <w:autoSpaceDE/>
        <w:autoSpaceDN/>
        <w:adjustRightInd/>
        <w:snapToGrid/>
        <w:spacing w:before="0" w:beforeLines="-2147483648" w:after="0" w:afterLines="-2147483648" w:line="240" w:lineRule="auto"/>
        <w:jc w:val="center"/>
        <w:rPr>
          <w:rFonts w:hint="eastAsia"/>
          <w:highlight w:val="none"/>
          <w:lang w:val="en-US" w:eastAsia="zh-CN"/>
        </w:rPr>
      </w:pPr>
      <w:r>
        <w:rPr>
          <w:highlight w:val="none"/>
        </w:rPr>
        <w:drawing>
          <wp:inline distT="0" distB="0" distL="114300" distR="114300">
            <wp:extent cx="3238500" cy="2428875"/>
            <wp:effectExtent l="0" t="0" r="0" b="9525"/>
            <wp:docPr id="43"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16"/>
                    <pic:cNvPicPr>
                      <a:picLocks noChangeAspect="1"/>
                    </pic:cNvPicPr>
                  </pic:nvPicPr>
                  <pic:blipFill>
                    <a:blip r:embed="rId8"/>
                    <a:stretch>
                      <a:fillRect/>
                    </a:stretch>
                  </pic:blipFill>
                  <pic:spPr>
                    <a:xfrm>
                      <a:off x="0" y="0"/>
                      <a:ext cx="3238500" cy="2428875"/>
                    </a:xfrm>
                    <a:prstGeom prst="rect">
                      <a:avLst/>
                    </a:prstGeom>
                    <a:noFill/>
                    <a:ln>
                      <a:noFill/>
                    </a:ln>
                  </pic:spPr>
                </pic:pic>
              </a:graphicData>
            </a:graphic>
          </wp:inline>
        </w:drawing>
      </w:r>
    </w:p>
    <w:p>
      <w:pPr>
        <w:autoSpaceDE/>
        <w:autoSpaceDN/>
        <w:adjustRightInd/>
        <w:snapToGrid/>
        <w:spacing w:before="0" w:beforeLines="-2147483648" w:after="0" w:afterLines="-2147483648" w:line="240" w:lineRule="auto"/>
        <w:jc w:val="center"/>
        <w:rPr>
          <w:rFonts w:hint="default"/>
          <w:highlight w:val="none"/>
          <w:lang w:val="en-US" w:eastAsia="zh-CN"/>
        </w:rPr>
      </w:pPr>
      <w:r>
        <w:rPr>
          <w:rFonts w:hint="eastAsia"/>
          <w:b/>
          <w:bCs/>
          <w:highlight w:val="none"/>
          <w:lang w:val="en-US" w:eastAsia="zh-CN"/>
        </w:rPr>
        <w:t>Figure 4</w:t>
      </w:r>
      <w:r>
        <w:rPr>
          <w:rFonts w:hint="eastAsia"/>
          <w:highlight w:val="none"/>
          <w:lang w:val="en-US" w:eastAsia="zh-CN"/>
        </w:rPr>
        <w:t>. simulation results for Case 4: TN UL interfering ATG UL @4GHz [co-located deployment]</w:t>
      </w:r>
    </w:p>
    <w:p>
      <w:pPr>
        <w:autoSpaceDE/>
        <w:autoSpaceDN/>
        <w:adjustRightInd/>
        <w:snapToGrid/>
        <w:spacing w:before="0" w:beforeLines="-2147483648" w:after="0" w:afterLines="-2147483648" w:line="240" w:lineRule="auto"/>
        <w:jc w:val="center"/>
        <w:rPr>
          <w:rFonts w:hint="eastAsia"/>
          <w:highlight w:val="none"/>
          <w:lang w:val="en-US" w:eastAsia="zh-CN"/>
        </w:rPr>
      </w:pPr>
    </w:p>
    <w:p>
      <w:pPr>
        <w:pStyle w:val="52"/>
        <w:widowControl w:val="0"/>
        <w:numPr>
          <w:ilvl w:val="0"/>
          <w:numId w:val="0"/>
        </w:numPr>
        <w:jc w:val="center"/>
        <w:rPr>
          <w:rFonts w:hint="eastAsia"/>
          <w:highlight w:val="none"/>
          <w:lang w:eastAsia="zh-CN"/>
        </w:rPr>
      </w:pPr>
    </w:p>
    <w:p>
      <w:pPr>
        <w:pStyle w:val="52"/>
        <w:widowControl w:val="0"/>
        <w:numPr>
          <w:ilvl w:val="0"/>
          <w:numId w:val="0"/>
        </w:numPr>
        <w:jc w:val="center"/>
        <w:rPr>
          <w:highlight w:val="none"/>
        </w:rPr>
      </w:pPr>
      <w:r>
        <w:rPr>
          <w:highlight w:val="none"/>
        </w:rPr>
        <w:drawing>
          <wp:inline distT="0" distB="0" distL="114300" distR="114300">
            <wp:extent cx="3238500" cy="2428875"/>
            <wp:effectExtent l="0" t="0" r="0" b="9525"/>
            <wp:docPr id="4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9"/>
                    <pic:cNvPicPr>
                      <a:picLocks noChangeAspect="1"/>
                    </pic:cNvPicPr>
                  </pic:nvPicPr>
                  <pic:blipFill>
                    <a:blip r:embed="rId9"/>
                    <a:stretch>
                      <a:fillRect/>
                    </a:stretch>
                  </pic:blipFill>
                  <pic:spPr>
                    <a:xfrm>
                      <a:off x="0" y="0"/>
                      <a:ext cx="3238500" cy="2428875"/>
                    </a:xfrm>
                    <a:prstGeom prst="rect">
                      <a:avLst/>
                    </a:prstGeom>
                    <a:noFill/>
                    <a:ln>
                      <a:noFill/>
                    </a:ln>
                  </pic:spPr>
                </pic:pic>
              </a:graphicData>
            </a:graphic>
          </wp:inline>
        </w:drawing>
      </w:r>
    </w:p>
    <w:p>
      <w:pPr>
        <w:autoSpaceDE/>
        <w:autoSpaceDN/>
        <w:adjustRightInd/>
        <w:snapToGrid/>
        <w:spacing w:before="0" w:beforeLines="-2147483648" w:after="0" w:afterLines="-2147483648" w:line="240" w:lineRule="auto"/>
        <w:jc w:val="center"/>
        <w:rPr>
          <w:rFonts w:hint="eastAsia"/>
          <w:highlight w:val="none"/>
          <w:lang w:val="en-US" w:eastAsia="zh-CN"/>
        </w:rPr>
      </w:pPr>
    </w:p>
    <w:p>
      <w:pPr>
        <w:pStyle w:val="52"/>
        <w:widowControl w:val="0"/>
        <w:numPr>
          <w:ilvl w:val="0"/>
          <w:numId w:val="0"/>
        </w:numPr>
        <w:jc w:val="center"/>
        <w:rPr>
          <w:rFonts w:hint="eastAsia"/>
          <w:highlight w:val="none"/>
          <w:lang w:val="en-US" w:eastAsia="zh-CN"/>
        </w:rPr>
      </w:pPr>
      <w:r>
        <w:rPr>
          <w:rFonts w:hint="eastAsia"/>
          <w:b/>
          <w:bCs/>
          <w:highlight w:val="none"/>
          <w:lang w:val="en-US" w:eastAsia="zh-CN"/>
        </w:rPr>
        <w:t>Figure 5</w:t>
      </w:r>
      <w:r>
        <w:rPr>
          <w:rFonts w:hint="eastAsia"/>
          <w:highlight w:val="none"/>
          <w:lang w:val="en-US" w:eastAsia="zh-CN"/>
        </w:rPr>
        <w:t>. simulation results for Case 12: TN UL interfering ATG UL @2GHz [co-located deployment]</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highlight w:val="none"/>
          <w:lang w:val="en-US" w:eastAsia="zh-CN"/>
        </w:rPr>
      </w:pPr>
      <w:r>
        <w:rPr>
          <w:rFonts w:hint="eastAsia"/>
          <w:b/>
          <w:bCs/>
          <w:highlight w:val="none"/>
          <w:lang w:val="en-US" w:eastAsia="zh-CN"/>
        </w:rPr>
        <w:t>Observation 2:</w:t>
      </w:r>
      <w:r>
        <w:rPr>
          <w:rFonts w:hint="eastAsia"/>
          <w:highlight w:val="none"/>
          <w:lang w:val="en-US" w:eastAsia="zh-CN"/>
        </w:rPr>
        <w:t xml:space="preserve"> based on the initial simulation results in Case 4 and Case 12, it</w:t>
      </w:r>
      <w:r>
        <w:rPr>
          <w:rFonts w:hint="default"/>
          <w:highlight w:val="none"/>
          <w:lang w:val="en-US" w:eastAsia="zh-CN"/>
        </w:rPr>
        <w:t>’</w:t>
      </w:r>
      <w:r>
        <w:rPr>
          <w:rFonts w:hint="eastAsia"/>
          <w:highlight w:val="none"/>
          <w:lang w:val="en-US" w:eastAsia="zh-CN"/>
        </w:rPr>
        <w:t xml:space="preserve">s sufficient to </w:t>
      </w:r>
      <w:r>
        <w:rPr>
          <w:rFonts w:hint="eastAsia" w:cs="Times New Roman"/>
          <w:kern w:val="2"/>
          <w:sz w:val="21"/>
          <w:szCs w:val="22"/>
          <w:highlight w:val="none"/>
          <w:lang w:val="en-US" w:eastAsia="zh-CN" w:bidi="ar-SA"/>
        </w:rPr>
        <w:t>reuse the legacy FR1 ACS 46dBc requirement for ATG BS.</w:t>
      </w:r>
    </w:p>
    <w:p>
      <w:pPr>
        <w:pStyle w:val="40"/>
        <w:bidi w:val="0"/>
        <w:ind w:left="0" w:leftChars="0" w:firstLine="0" w:firstLineChars="0"/>
        <w:rPr>
          <w:rFonts w:hint="default"/>
          <w:highlight w:val="none"/>
          <w:lang w:val="en-US" w:eastAsia="zh-CN"/>
        </w:rPr>
      </w:pPr>
    </w:p>
    <w:p>
      <w:pPr>
        <w:keepNext w:val="0"/>
        <w:keepLines w:val="0"/>
        <w:pageBreakBefore w:val="0"/>
        <w:widowControl w:val="0"/>
        <w:kinsoku/>
        <w:wordWrap/>
        <w:overflowPunct/>
        <w:topLinePunct w:val="0"/>
        <w:autoSpaceDE/>
        <w:autoSpaceDN/>
        <w:bidi w:val="0"/>
        <w:adjustRightInd/>
        <w:snapToGrid/>
        <w:spacing w:before="0" w:beforeLines="-2147483648" w:after="100" w:afterLines="-2147483648" w:afterAutospacing="1" w:line="240" w:lineRule="auto"/>
        <w:jc w:val="left"/>
        <w:textAlignment w:val="auto"/>
        <w:outlineLvl w:val="2"/>
        <w:rPr>
          <w:rFonts w:hint="default" w:ascii="Arial" w:hAnsi="Arial" w:cs="Arial"/>
          <w:sz w:val="24"/>
          <w:szCs w:val="24"/>
          <w:highlight w:val="none"/>
          <w:lang w:val="en-US" w:eastAsia="zh-CN"/>
        </w:rPr>
      </w:pPr>
      <w:r>
        <w:rPr>
          <w:rFonts w:hint="default" w:ascii="Arial" w:hAnsi="Arial" w:cs="Arial"/>
          <w:sz w:val="24"/>
          <w:szCs w:val="24"/>
          <w:highlight w:val="none"/>
          <w:lang w:val="en-US" w:eastAsia="zh-CN"/>
        </w:rPr>
        <w:t>2.1.3. Case 2,10 for ACLR requirement of ATG UE</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Based on the simulation results obtained so far for Case 2 and Case 10 as shown in Figure 6 and Figure 7, ACI caused by ATG UL towards TN UL are still quite limited. In short, based on the simulation results in Case 2 and Case 10 dominating the ATG UE UL ACLR requirement, it should be sufficient to reuse the legacy FR1 UE PC3 ACLR requirement 30dBc requirement for ATG UE.</w:t>
      </w:r>
    </w:p>
    <w:p>
      <w:pPr>
        <w:autoSpaceDE/>
        <w:autoSpaceDN/>
        <w:adjustRightInd/>
        <w:snapToGrid/>
        <w:spacing w:before="0" w:beforeLines="-2147483648" w:after="0" w:afterLines="-2147483648" w:line="240" w:lineRule="auto"/>
        <w:jc w:val="center"/>
        <w:rPr>
          <w:rFonts w:hint="eastAsia"/>
          <w:b/>
          <w:bCs/>
          <w:highlight w:val="none"/>
          <w:lang w:val="en-US" w:eastAsia="zh-CN"/>
        </w:rPr>
      </w:pPr>
      <w:r>
        <w:rPr>
          <w:highlight w:val="none"/>
        </w:rPr>
        <w:drawing>
          <wp:inline distT="0" distB="0" distL="114300" distR="114300">
            <wp:extent cx="3238500" cy="2428875"/>
            <wp:effectExtent l="0" t="0" r="0" b="9525"/>
            <wp:docPr id="4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12"/>
                    <pic:cNvPicPr>
                      <a:picLocks noChangeAspect="1"/>
                    </pic:cNvPicPr>
                  </pic:nvPicPr>
                  <pic:blipFill>
                    <a:blip r:embed="rId10"/>
                    <a:stretch>
                      <a:fillRect/>
                    </a:stretch>
                  </pic:blipFill>
                  <pic:spPr>
                    <a:xfrm>
                      <a:off x="0" y="0"/>
                      <a:ext cx="3238500" cy="2428875"/>
                    </a:xfrm>
                    <a:prstGeom prst="rect">
                      <a:avLst/>
                    </a:prstGeom>
                    <a:noFill/>
                    <a:ln>
                      <a:noFill/>
                    </a:ln>
                  </pic:spPr>
                </pic:pic>
              </a:graphicData>
            </a:graphic>
          </wp:inline>
        </w:drawing>
      </w:r>
    </w:p>
    <w:p>
      <w:pPr>
        <w:autoSpaceDE/>
        <w:autoSpaceDN/>
        <w:adjustRightInd/>
        <w:snapToGrid/>
        <w:spacing w:before="0" w:beforeLines="-2147483648" w:after="0" w:afterLines="-2147483648" w:line="240" w:lineRule="auto"/>
        <w:jc w:val="center"/>
        <w:rPr>
          <w:rFonts w:hint="default"/>
          <w:highlight w:val="none"/>
          <w:lang w:val="en-US" w:eastAsia="zh-CN"/>
        </w:rPr>
      </w:pPr>
      <w:r>
        <w:rPr>
          <w:rFonts w:hint="eastAsia"/>
          <w:b/>
          <w:bCs/>
          <w:highlight w:val="none"/>
          <w:lang w:val="en-US" w:eastAsia="zh-CN"/>
        </w:rPr>
        <w:t>Figure 6a</w:t>
      </w:r>
      <w:r>
        <w:rPr>
          <w:rFonts w:hint="eastAsia"/>
          <w:highlight w:val="none"/>
          <w:lang w:val="en-US" w:eastAsia="zh-CN"/>
        </w:rPr>
        <w:t>. simulation results for Case 2: ATG UL interfering TN UL @4GHz [non co-located deployment]</w:t>
      </w:r>
    </w:p>
    <w:p>
      <w:pPr>
        <w:autoSpaceDE/>
        <w:autoSpaceDN/>
        <w:adjustRightInd/>
        <w:snapToGrid/>
        <w:spacing w:before="0" w:beforeLines="-2147483648" w:after="0" w:afterLines="-2147483648" w:line="240" w:lineRule="auto"/>
        <w:jc w:val="center"/>
        <w:rPr>
          <w:rFonts w:hint="eastAsia"/>
          <w:highlight w:val="none"/>
          <w:lang w:val="en-US" w:eastAsia="zh-CN"/>
        </w:rPr>
      </w:pPr>
      <w:r>
        <w:rPr>
          <w:highlight w:val="none"/>
        </w:rPr>
        <w:drawing>
          <wp:inline distT="0" distB="0" distL="114300" distR="114300">
            <wp:extent cx="3238500" cy="2428875"/>
            <wp:effectExtent l="0" t="0" r="0" b="9525"/>
            <wp:docPr id="4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7"/>
                    <pic:cNvPicPr>
                      <a:picLocks noChangeAspect="1"/>
                    </pic:cNvPicPr>
                  </pic:nvPicPr>
                  <pic:blipFill>
                    <a:blip r:embed="rId11"/>
                    <a:stretch>
                      <a:fillRect/>
                    </a:stretch>
                  </pic:blipFill>
                  <pic:spPr>
                    <a:xfrm>
                      <a:off x="0" y="0"/>
                      <a:ext cx="3238500" cy="2428875"/>
                    </a:xfrm>
                    <a:prstGeom prst="rect">
                      <a:avLst/>
                    </a:prstGeom>
                    <a:noFill/>
                    <a:ln>
                      <a:noFill/>
                    </a:ln>
                  </pic:spPr>
                </pic:pic>
              </a:graphicData>
            </a:graphic>
          </wp:inline>
        </w:drawing>
      </w:r>
    </w:p>
    <w:p>
      <w:pPr>
        <w:autoSpaceDE/>
        <w:autoSpaceDN/>
        <w:adjustRightInd/>
        <w:snapToGrid/>
        <w:spacing w:before="0" w:beforeLines="-2147483648" w:after="0" w:afterLines="-2147483648" w:line="240" w:lineRule="auto"/>
        <w:jc w:val="center"/>
        <w:rPr>
          <w:rFonts w:hint="eastAsia"/>
          <w:highlight w:val="none"/>
          <w:lang w:val="en-US" w:eastAsia="zh-CN"/>
        </w:rPr>
      </w:pPr>
    </w:p>
    <w:p>
      <w:pPr>
        <w:autoSpaceDE/>
        <w:autoSpaceDN/>
        <w:adjustRightInd/>
        <w:snapToGrid/>
        <w:spacing w:before="0" w:beforeLines="-2147483648" w:after="0" w:afterLines="-2147483648" w:line="240" w:lineRule="auto"/>
        <w:jc w:val="center"/>
        <w:rPr>
          <w:rFonts w:hint="default"/>
          <w:highlight w:val="none"/>
          <w:lang w:val="en-US" w:eastAsia="zh-CN"/>
        </w:rPr>
      </w:pPr>
      <w:r>
        <w:rPr>
          <w:rFonts w:hint="eastAsia"/>
          <w:b/>
          <w:bCs/>
          <w:highlight w:val="none"/>
          <w:lang w:val="en-US" w:eastAsia="zh-CN"/>
        </w:rPr>
        <w:t>Figure 6b</w:t>
      </w:r>
      <w:r>
        <w:rPr>
          <w:rFonts w:hint="eastAsia"/>
          <w:highlight w:val="none"/>
          <w:lang w:val="en-US" w:eastAsia="zh-CN"/>
        </w:rPr>
        <w:t>. simulation results for Case 2: ATG UL interfering TN UL @4GHz [co-located deployment]</w:t>
      </w:r>
    </w:p>
    <w:p>
      <w:pPr>
        <w:autoSpaceDE/>
        <w:autoSpaceDN/>
        <w:adjustRightInd/>
        <w:snapToGrid/>
        <w:spacing w:before="0" w:beforeLines="-2147483648" w:after="0" w:afterLines="-2147483648" w:line="240" w:lineRule="auto"/>
        <w:jc w:val="center"/>
        <w:rPr>
          <w:rFonts w:hint="default" w:eastAsia="宋体"/>
          <w:highlight w:val="none"/>
          <w:lang w:val="en-US" w:eastAsia="zh-CN"/>
        </w:rPr>
      </w:pPr>
    </w:p>
    <w:p>
      <w:pPr>
        <w:autoSpaceDE/>
        <w:autoSpaceDN/>
        <w:adjustRightInd/>
        <w:snapToGrid/>
        <w:spacing w:before="0" w:beforeLines="-2147483648" w:after="0" w:afterLines="-2147483648" w:line="240" w:lineRule="auto"/>
        <w:jc w:val="center"/>
        <w:rPr>
          <w:rFonts w:hint="default"/>
          <w:highlight w:val="none"/>
          <w:lang w:val="en-US" w:eastAsia="zh-CN"/>
        </w:rPr>
      </w:pPr>
    </w:p>
    <w:p>
      <w:pPr>
        <w:autoSpaceDE/>
        <w:autoSpaceDN/>
        <w:adjustRightInd/>
        <w:snapToGrid/>
        <w:spacing w:before="0" w:beforeLines="-2147483648" w:after="0" w:afterLines="-2147483648" w:line="240" w:lineRule="auto"/>
        <w:jc w:val="center"/>
        <w:rPr>
          <w:rFonts w:hint="eastAsia"/>
          <w:sz w:val="20"/>
          <w:highlight w:val="none"/>
          <w:lang w:val="en-US" w:eastAsia="zh-CN"/>
        </w:rPr>
      </w:pPr>
      <w:r>
        <w:rPr>
          <w:highlight w:val="none"/>
        </w:rPr>
        <w:drawing>
          <wp:inline distT="0" distB="0" distL="114300" distR="114300">
            <wp:extent cx="3238500" cy="2428875"/>
            <wp:effectExtent l="0" t="0" r="0" b="9525"/>
            <wp:docPr id="4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10"/>
                    <pic:cNvPicPr>
                      <a:picLocks noChangeAspect="1"/>
                    </pic:cNvPicPr>
                  </pic:nvPicPr>
                  <pic:blipFill>
                    <a:blip r:embed="rId12"/>
                    <a:stretch>
                      <a:fillRect/>
                    </a:stretch>
                  </pic:blipFill>
                  <pic:spPr>
                    <a:xfrm>
                      <a:off x="0" y="0"/>
                      <a:ext cx="3238500" cy="2428875"/>
                    </a:xfrm>
                    <a:prstGeom prst="rect">
                      <a:avLst/>
                    </a:prstGeom>
                    <a:noFill/>
                    <a:ln>
                      <a:noFill/>
                    </a:ln>
                  </pic:spPr>
                </pic:pic>
              </a:graphicData>
            </a:graphic>
          </wp:inline>
        </w:drawing>
      </w:r>
    </w:p>
    <w:p>
      <w:pPr>
        <w:autoSpaceDE/>
        <w:autoSpaceDN/>
        <w:adjustRightInd/>
        <w:snapToGrid/>
        <w:spacing w:before="0" w:beforeLines="-2147483648" w:after="0" w:afterLines="-2147483648" w:line="240" w:lineRule="auto"/>
        <w:jc w:val="center"/>
        <w:rPr>
          <w:rFonts w:hint="default"/>
          <w:highlight w:val="none"/>
          <w:lang w:val="en-US" w:eastAsia="zh-CN"/>
        </w:rPr>
      </w:pPr>
      <w:r>
        <w:rPr>
          <w:rFonts w:hint="eastAsia"/>
          <w:b/>
          <w:bCs/>
          <w:highlight w:val="none"/>
          <w:lang w:val="en-US" w:eastAsia="zh-CN"/>
        </w:rPr>
        <w:t>Figure 7a</w:t>
      </w:r>
      <w:r>
        <w:rPr>
          <w:rFonts w:hint="eastAsia"/>
          <w:highlight w:val="none"/>
          <w:lang w:val="en-US" w:eastAsia="zh-CN"/>
        </w:rPr>
        <w:t>. simulation results for Case 10: ATG UL interfering TN UL @2GHz [non co-located deployment]</w:t>
      </w:r>
    </w:p>
    <w:p>
      <w:pPr>
        <w:autoSpaceDE/>
        <w:autoSpaceDN/>
        <w:adjustRightInd/>
        <w:snapToGrid/>
        <w:spacing w:before="0" w:beforeLines="-2147483648" w:after="0" w:afterLines="-2147483648" w:line="240" w:lineRule="auto"/>
        <w:jc w:val="center"/>
        <w:rPr>
          <w:rFonts w:hint="eastAsia"/>
          <w:highlight w:val="none"/>
          <w:lang w:val="en-US" w:eastAsia="zh-CN"/>
        </w:rPr>
      </w:pPr>
      <w:r>
        <w:rPr>
          <w:highlight w:val="none"/>
        </w:rPr>
        <w:drawing>
          <wp:inline distT="0" distB="0" distL="114300" distR="114300">
            <wp:extent cx="3238500" cy="2428875"/>
            <wp:effectExtent l="0" t="0" r="0" b="9525"/>
            <wp:docPr id="4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7"/>
                    <pic:cNvPicPr>
                      <a:picLocks noChangeAspect="1"/>
                    </pic:cNvPicPr>
                  </pic:nvPicPr>
                  <pic:blipFill>
                    <a:blip r:embed="rId13"/>
                    <a:stretch>
                      <a:fillRect/>
                    </a:stretch>
                  </pic:blipFill>
                  <pic:spPr>
                    <a:xfrm>
                      <a:off x="0" y="0"/>
                      <a:ext cx="3238500" cy="2428875"/>
                    </a:xfrm>
                    <a:prstGeom prst="rect">
                      <a:avLst/>
                    </a:prstGeom>
                    <a:noFill/>
                    <a:ln>
                      <a:noFill/>
                    </a:ln>
                  </pic:spPr>
                </pic:pic>
              </a:graphicData>
            </a:graphic>
          </wp:inline>
        </w:drawing>
      </w:r>
    </w:p>
    <w:p>
      <w:pPr>
        <w:autoSpaceDE/>
        <w:autoSpaceDN/>
        <w:adjustRightInd/>
        <w:snapToGrid/>
        <w:spacing w:before="0" w:beforeLines="-2147483648" w:after="0" w:afterLines="-2147483648" w:line="240" w:lineRule="auto"/>
        <w:jc w:val="center"/>
        <w:rPr>
          <w:rFonts w:hint="default"/>
          <w:highlight w:val="none"/>
          <w:lang w:val="en-US" w:eastAsia="zh-CN"/>
        </w:rPr>
      </w:pPr>
      <w:r>
        <w:rPr>
          <w:rFonts w:hint="eastAsia"/>
          <w:b/>
          <w:bCs/>
          <w:highlight w:val="none"/>
          <w:lang w:val="en-US" w:eastAsia="zh-CN"/>
        </w:rPr>
        <w:t>Figure 7b</w:t>
      </w:r>
      <w:r>
        <w:rPr>
          <w:rFonts w:hint="eastAsia"/>
          <w:highlight w:val="none"/>
          <w:lang w:val="en-US" w:eastAsia="zh-CN"/>
        </w:rPr>
        <w:t>. simulation results for Case 10: ATG DL interfering TN UL @2GHz [co-located deployment]</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eastAsia"/>
          <w:sz w:val="20"/>
          <w:highlight w:val="none"/>
          <w:lang w:val="en-US" w:eastAsia="zh-CN"/>
        </w:rPr>
      </w:pPr>
      <w:r>
        <w:rPr>
          <w:rFonts w:hint="eastAsia"/>
          <w:b/>
          <w:bCs/>
          <w:highlight w:val="none"/>
          <w:lang w:val="en-US" w:eastAsia="zh-CN"/>
        </w:rPr>
        <w:t>Observation 3:</w:t>
      </w:r>
      <w:r>
        <w:rPr>
          <w:rFonts w:hint="eastAsia"/>
          <w:highlight w:val="none"/>
          <w:lang w:val="en-US" w:eastAsia="zh-CN"/>
        </w:rPr>
        <w:t xml:space="preserve"> based on the initial simulation results in Case 2 and Case 10, </w:t>
      </w:r>
      <w:r>
        <w:rPr>
          <w:rFonts w:hint="eastAsia" w:cs="Times New Roman"/>
          <w:kern w:val="2"/>
          <w:sz w:val="21"/>
          <w:szCs w:val="22"/>
          <w:highlight w:val="none"/>
          <w:lang w:val="en-US" w:eastAsia="zh-CN" w:bidi="ar-SA"/>
        </w:rPr>
        <w:t>it should be sufficient to reuse the legacy FR1 UE PC3 ACLR requirement 30dBc requirement for ATG UE.</w:t>
      </w:r>
    </w:p>
    <w:p>
      <w:pPr>
        <w:pStyle w:val="40"/>
        <w:bidi w:val="0"/>
        <w:ind w:left="0" w:leftChars="0" w:firstLine="0" w:firstLineChars="0"/>
        <w:rPr>
          <w:rFonts w:hint="default"/>
          <w:highlight w:val="none"/>
          <w:lang w:val="en-US" w:eastAsia="zh-CN"/>
        </w:rPr>
      </w:pPr>
    </w:p>
    <w:p>
      <w:pPr>
        <w:keepNext w:val="0"/>
        <w:keepLines w:val="0"/>
        <w:pageBreakBefore w:val="0"/>
        <w:widowControl w:val="0"/>
        <w:kinsoku/>
        <w:wordWrap/>
        <w:overflowPunct/>
        <w:topLinePunct w:val="0"/>
        <w:autoSpaceDE/>
        <w:autoSpaceDN/>
        <w:bidi w:val="0"/>
        <w:adjustRightInd/>
        <w:snapToGrid/>
        <w:spacing w:before="0" w:beforeLines="-2147483648" w:after="100" w:afterLines="-2147483648" w:afterAutospacing="1" w:line="240" w:lineRule="auto"/>
        <w:jc w:val="left"/>
        <w:textAlignment w:val="auto"/>
        <w:outlineLvl w:val="2"/>
        <w:rPr>
          <w:rFonts w:hint="default" w:ascii="Arial" w:hAnsi="Arial" w:cs="Arial"/>
          <w:sz w:val="24"/>
          <w:szCs w:val="24"/>
          <w:highlight w:val="none"/>
          <w:lang w:val="en-US" w:eastAsia="zh-CN"/>
        </w:rPr>
      </w:pPr>
      <w:r>
        <w:rPr>
          <w:rFonts w:hint="default" w:ascii="Arial" w:hAnsi="Arial" w:cs="Arial"/>
          <w:sz w:val="24"/>
          <w:szCs w:val="24"/>
          <w:highlight w:val="none"/>
          <w:lang w:val="en-US" w:eastAsia="zh-CN"/>
        </w:rPr>
        <w:t>2.1.4. Case 3 and 11 for ACS requirement of ATG UE</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ascii="Arial" w:hAnsi="Arial" w:cs="Arial"/>
          <w:sz w:val="28"/>
          <w:szCs w:val="28"/>
          <w:highlight w:val="none"/>
          <w:lang w:val="en-US" w:eastAsia="zh-CN"/>
        </w:rPr>
      </w:pPr>
      <w:r>
        <w:rPr>
          <w:rFonts w:hint="eastAsia" w:cs="Times New Roman"/>
          <w:kern w:val="2"/>
          <w:sz w:val="21"/>
          <w:szCs w:val="22"/>
          <w:highlight w:val="none"/>
          <w:lang w:val="en-US" w:eastAsia="zh-CN" w:bidi="ar-SA"/>
        </w:rPr>
        <w:t>Based on the simulation results obtained so far for Case 3 and Case 11 as shown in Figure 8 and Figure 10, it should be sufficient to reuse the legacy FR1 UE PC3 ACS requirement 33dBc requirement for ATG UE.</w:t>
      </w:r>
    </w:p>
    <w:p>
      <w:pPr>
        <w:autoSpaceDE/>
        <w:autoSpaceDN/>
        <w:adjustRightInd/>
        <w:snapToGrid/>
        <w:spacing w:before="0" w:beforeLines="-2147483648" w:after="0" w:afterLines="-2147483648" w:line="240" w:lineRule="auto"/>
        <w:jc w:val="center"/>
        <w:rPr>
          <w:rFonts w:hint="eastAsia"/>
          <w:b/>
          <w:bCs/>
          <w:highlight w:val="none"/>
          <w:lang w:val="en-US" w:eastAsia="zh-CN"/>
        </w:rPr>
      </w:pPr>
      <w:r>
        <w:rPr>
          <w:highlight w:val="none"/>
        </w:rPr>
        <w:drawing>
          <wp:inline distT="0" distB="0" distL="114300" distR="114300">
            <wp:extent cx="3238500" cy="2428875"/>
            <wp:effectExtent l="0" t="0" r="0" b="9525"/>
            <wp:docPr id="5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11"/>
                    <pic:cNvPicPr>
                      <a:picLocks noChangeAspect="1"/>
                    </pic:cNvPicPr>
                  </pic:nvPicPr>
                  <pic:blipFill>
                    <a:blip r:embed="rId14"/>
                    <a:stretch>
                      <a:fillRect/>
                    </a:stretch>
                  </pic:blipFill>
                  <pic:spPr>
                    <a:xfrm>
                      <a:off x="0" y="0"/>
                      <a:ext cx="3238500" cy="2428875"/>
                    </a:xfrm>
                    <a:prstGeom prst="rect">
                      <a:avLst/>
                    </a:prstGeom>
                    <a:noFill/>
                    <a:ln>
                      <a:noFill/>
                    </a:ln>
                  </pic:spPr>
                </pic:pic>
              </a:graphicData>
            </a:graphic>
          </wp:inline>
        </w:drawing>
      </w:r>
    </w:p>
    <w:p>
      <w:pPr>
        <w:autoSpaceDE/>
        <w:autoSpaceDN/>
        <w:adjustRightInd/>
        <w:snapToGrid/>
        <w:spacing w:before="0" w:beforeLines="-2147483648" w:after="0" w:afterLines="-2147483648" w:line="240" w:lineRule="auto"/>
        <w:jc w:val="center"/>
        <w:rPr>
          <w:rFonts w:hint="default"/>
          <w:highlight w:val="none"/>
          <w:lang w:val="en-US" w:eastAsia="zh-CN"/>
        </w:rPr>
      </w:pPr>
      <w:r>
        <w:rPr>
          <w:rFonts w:hint="eastAsia"/>
          <w:b/>
          <w:bCs/>
          <w:highlight w:val="none"/>
          <w:lang w:val="en-US" w:eastAsia="zh-CN"/>
        </w:rPr>
        <w:t>Figure 8a</w:t>
      </w:r>
      <w:r>
        <w:rPr>
          <w:rFonts w:hint="eastAsia"/>
          <w:highlight w:val="none"/>
          <w:lang w:val="en-US" w:eastAsia="zh-CN"/>
        </w:rPr>
        <w:t>. simulation results for Case 3: TN DL interfering ATG DL @4GHz [non co-located deployment]</w:t>
      </w:r>
    </w:p>
    <w:p>
      <w:pPr>
        <w:pStyle w:val="40"/>
        <w:bidi w:val="0"/>
        <w:jc w:val="center"/>
        <w:rPr>
          <w:rFonts w:hint="eastAsia"/>
          <w:highlight w:val="none"/>
          <w:lang w:val="en-US" w:eastAsia="zh-CN"/>
        </w:rPr>
      </w:pPr>
      <w:r>
        <w:rPr>
          <w:highlight w:val="none"/>
        </w:rPr>
        <w:drawing>
          <wp:inline distT="0" distB="0" distL="114300" distR="114300">
            <wp:extent cx="3238500" cy="2428875"/>
            <wp:effectExtent l="0" t="0" r="0" b="9525"/>
            <wp:docPr id="5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9"/>
                    <pic:cNvPicPr>
                      <a:picLocks noChangeAspect="1"/>
                    </pic:cNvPicPr>
                  </pic:nvPicPr>
                  <pic:blipFill>
                    <a:blip r:embed="rId15"/>
                    <a:stretch>
                      <a:fillRect/>
                    </a:stretch>
                  </pic:blipFill>
                  <pic:spPr>
                    <a:xfrm>
                      <a:off x="0" y="0"/>
                      <a:ext cx="3238500" cy="2428875"/>
                    </a:xfrm>
                    <a:prstGeom prst="rect">
                      <a:avLst/>
                    </a:prstGeom>
                    <a:noFill/>
                    <a:ln>
                      <a:noFill/>
                    </a:ln>
                  </pic:spPr>
                </pic:pic>
              </a:graphicData>
            </a:graphic>
          </wp:inline>
        </w:drawing>
      </w:r>
    </w:p>
    <w:p>
      <w:pPr>
        <w:autoSpaceDE/>
        <w:autoSpaceDN/>
        <w:adjustRightInd/>
        <w:snapToGrid/>
        <w:spacing w:before="0" w:beforeLines="-2147483648" w:after="0" w:afterLines="-2147483648" w:line="240" w:lineRule="auto"/>
        <w:jc w:val="center"/>
        <w:rPr>
          <w:rFonts w:hint="default"/>
          <w:highlight w:val="none"/>
          <w:lang w:val="en-US" w:eastAsia="zh-CN"/>
        </w:rPr>
      </w:pPr>
      <w:r>
        <w:rPr>
          <w:rFonts w:hint="eastAsia"/>
          <w:b/>
          <w:bCs/>
          <w:highlight w:val="none"/>
          <w:lang w:val="en-US" w:eastAsia="zh-CN"/>
        </w:rPr>
        <w:t>Figure 8b</w:t>
      </w:r>
      <w:r>
        <w:rPr>
          <w:rFonts w:hint="eastAsia"/>
          <w:highlight w:val="none"/>
          <w:lang w:val="en-US" w:eastAsia="zh-CN"/>
        </w:rPr>
        <w:t>. simulation results for Case 3: TN DL interfering ATG DL @4GHz [co-located deployment]</w:t>
      </w:r>
    </w:p>
    <w:p>
      <w:pPr>
        <w:pStyle w:val="40"/>
        <w:bidi w:val="0"/>
        <w:rPr>
          <w:highlight w:val="none"/>
        </w:rPr>
      </w:pPr>
      <w:r>
        <w:rPr>
          <w:highlight w:val="none"/>
        </w:rPr>
        <w:drawing>
          <wp:inline distT="0" distB="0" distL="114300" distR="114300">
            <wp:extent cx="6188075" cy="4635500"/>
            <wp:effectExtent l="0" t="0" r="3175" b="12700"/>
            <wp:docPr id="5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
                    <pic:cNvPicPr>
                      <a:picLocks noChangeAspect="1"/>
                    </pic:cNvPicPr>
                  </pic:nvPicPr>
                  <pic:blipFill>
                    <a:blip r:embed="rId16"/>
                    <a:stretch>
                      <a:fillRect/>
                    </a:stretch>
                  </pic:blipFill>
                  <pic:spPr>
                    <a:xfrm>
                      <a:off x="0" y="0"/>
                      <a:ext cx="6188075" cy="4635500"/>
                    </a:xfrm>
                    <a:prstGeom prst="rect">
                      <a:avLst/>
                    </a:prstGeom>
                    <a:noFill/>
                    <a:ln>
                      <a:noFill/>
                    </a:ln>
                  </pic:spPr>
                </pic:pic>
              </a:graphicData>
            </a:graphic>
          </wp:inline>
        </w:drawing>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center"/>
        <w:textAlignment w:val="auto"/>
        <w:outlineLvl w:val="9"/>
        <w:rPr>
          <w:rFonts w:hint="default" w:eastAsia="宋体"/>
          <w:highlight w:val="none"/>
          <w:lang w:val="en-US" w:eastAsia="zh-CN"/>
        </w:rPr>
      </w:pPr>
      <w:r>
        <w:rPr>
          <w:rFonts w:hint="eastAsia"/>
          <w:highlight w:val="none"/>
          <w:lang w:val="en-US" w:eastAsia="zh-CN"/>
        </w:rPr>
        <w:t>Figure 9. the TN cells placed underneath of Aircraft [the figure is for informative with one more ring of 57 sectors]</w:t>
      </w:r>
    </w:p>
    <w:p>
      <w:pPr>
        <w:pStyle w:val="40"/>
        <w:bidi w:val="0"/>
        <w:rPr>
          <w:rFonts w:hint="eastAsia"/>
          <w:highlight w:val="none"/>
          <w:lang w:val="en-US" w:eastAsia="zh-CN"/>
        </w:rPr>
      </w:pPr>
    </w:p>
    <w:p>
      <w:pPr>
        <w:pStyle w:val="40"/>
        <w:bidi w:val="0"/>
        <w:jc w:val="center"/>
        <w:rPr>
          <w:rFonts w:hint="eastAsia"/>
          <w:highlight w:val="none"/>
          <w:lang w:val="en-US" w:eastAsia="zh-CN"/>
        </w:rPr>
      </w:pPr>
      <w:r>
        <w:rPr>
          <w:highlight w:val="none"/>
        </w:rPr>
        <w:drawing>
          <wp:inline distT="0" distB="0" distL="114300" distR="114300">
            <wp:extent cx="3238500" cy="2428875"/>
            <wp:effectExtent l="0" t="0" r="0" b="9525"/>
            <wp:docPr id="5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11"/>
                    <pic:cNvPicPr>
                      <a:picLocks noChangeAspect="1"/>
                    </pic:cNvPicPr>
                  </pic:nvPicPr>
                  <pic:blipFill>
                    <a:blip r:embed="rId17"/>
                    <a:stretch>
                      <a:fillRect/>
                    </a:stretch>
                  </pic:blipFill>
                  <pic:spPr>
                    <a:xfrm>
                      <a:off x="0" y="0"/>
                      <a:ext cx="3238500" cy="2428875"/>
                    </a:xfrm>
                    <a:prstGeom prst="rect">
                      <a:avLst/>
                    </a:prstGeom>
                    <a:noFill/>
                    <a:ln>
                      <a:noFill/>
                    </a:ln>
                  </pic:spPr>
                </pic:pic>
              </a:graphicData>
            </a:graphic>
          </wp:inline>
        </w:drawing>
      </w:r>
    </w:p>
    <w:p>
      <w:pPr>
        <w:autoSpaceDE/>
        <w:autoSpaceDN/>
        <w:adjustRightInd/>
        <w:snapToGrid/>
        <w:spacing w:before="0" w:beforeLines="-2147483648" w:after="0" w:afterLines="-2147483648" w:line="240" w:lineRule="auto"/>
        <w:jc w:val="center"/>
        <w:rPr>
          <w:rFonts w:hint="default"/>
          <w:highlight w:val="none"/>
          <w:lang w:val="en-US" w:eastAsia="zh-CN"/>
        </w:rPr>
      </w:pPr>
      <w:r>
        <w:rPr>
          <w:rFonts w:hint="eastAsia"/>
          <w:b/>
          <w:bCs/>
          <w:highlight w:val="none"/>
          <w:lang w:val="en-US" w:eastAsia="zh-CN"/>
        </w:rPr>
        <w:t>Figure 10</w:t>
      </w:r>
      <w:r>
        <w:rPr>
          <w:rFonts w:hint="eastAsia"/>
          <w:highlight w:val="none"/>
          <w:lang w:val="en-US" w:eastAsia="zh-CN"/>
        </w:rPr>
        <w:t>. simulation results for Case 10: TN DL interfering ATG DL @2GHz [non co-located deployment]</w:t>
      </w:r>
    </w:p>
    <w:p>
      <w:pPr>
        <w:autoSpaceDE/>
        <w:autoSpaceDN/>
        <w:adjustRightInd/>
        <w:snapToGrid/>
        <w:spacing w:before="0" w:beforeLines="-2147483648" w:after="0" w:afterLines="-2147483648" w:line="240" w:lineRule="auto"/>
        <w:jc w:val="center"/>
        <w:rPr>
          <w:rFonts w:hint="eastAsia"/>
          <w:highlight w:val="none"/>
          <w:lang w:val="en-US" w:eastAsia="zh-CN"/>
        </w:rPr>
      </w:pPr>
      <w:r>
        <w:rPr>
          <w:rFonts w:hint="eastAsia"/>
          <w:highlight w:val="none"/>
          <w:lang w:val="en-US" w:eastAsia="zh-CN"/>
        </w:rPr>
        <w:t xml:space="preserve"> </w:t>
      </w:r>
    </w:p>
    <w:p>
      <w:pPr>
        <w:autoSpaceDE/>
        <w:autoSpaceDN/>
        <w:adjustRightInd/>
        <w:snapToGrid/>
        <w:spacing w:before="0" w:beforeLines="-2147483648" w:after="0" w:afterLines="-2147483648" w:line="240" w:lineRule="auto"/>
        <w:jc w:val="center"/>
        <w:rPr>
          <w:rFonts w:hint="eastAsia"/>
          <w:highlight w:val="none"/>
          <w:lang w:val="en-US" w:eastAsia="zh-CN"/>
        </w:rPr>
      </w:pPr>
    </w:p>
    <w:p>
      <w:pPr>
        <w:keepLines w:val="0"/>
        <w:widowControl w:val="0"/>
        <w:pBdr>
          <w:top w:val="none" w:color="auto" w:sz="0" w:space="0"/>
          <w:left w:val="none" w:color="auto" w:sz="0" w:space="0"/>
          <w:bottom w:val="none" w:color="auto" w:sz="0" w:space="0"/>
          <w:right w:val="none" w:color="auto" w:sz="0" w:space="0"/>
          <w:between w:val="none" w:color="auto" w:sz="0" w:space="0"/>
        </w:pBdr>
        <w:tabs>
          <w:tab w:val="left" w:pos="2127"/>
        </w:tabs>
        <w:overflowPunct/>
        <w:autoSpaceDE/>
        <w:autoSpaceDN/>
        <w:adjustRightInd/>
        <w:spacing w:after="0"/>
        <w:jc w:val="both"/>
        <w:textAlignment w:val="auto"/>
        <w:outlineLvl w:val="9"/>
        <w:rPr>
          <w:rFonts w:hint="eastAsia" w:cs="Times New Roman"/>
          <w:kern w:val="2"/>
          <w:sz w:val="21"/>
          <w:szCs w:val="22"/>
          <w:highlight w:val="none"/>
          <w:lang w:val="en-US" w:eastAsia="zh-CN" w:bidi="ar-SA"/>
        </w:rPr>
      </w:pPr>
      <w:r>
        <w:rPr>
          <w:rFonts w:hint="eastAsia"/>
          <w:b/>
          <w:bCs/>
          <w:highlight w:val="none"/>
          <w:lang w:val="en-US" w:eastAsia="zh-CN"/>
        </w:rPr>
        <w:t>Observation 4:</w:t>
      </w:r>
      <w:r>
        <w:rPr>
          <w:rFonts w:hint="eastAsia"/>
          <w:highlight w:val="none"/>
          <w:lang w:val="en-US" w:eastAsia="zh-CN"/>
        </w:rPr>
        <w:t xml:space="preserve"> based on the initial simulation results in Case 3 and Case 11, </w:t>
      </w:r>
      <w:r>
        <w:rPr>
          <w:rFonts w:hint="eastAsia" w:cs="Times New Roman"/>
          <w:kern w:val="2"/>
          <w:sz w:val="21"/>
          <w:szCs w:val="22"/>
          <w:highlight w:val="none"/>
          <w:lang w:val="en-US" w:eastAsia="zh-CN" w:bidi="ar-SA"/>
        </w:rPr>
        <w:t>it should be sufficient to reuse the legacy FR1 UE PC3 ACS requirement 33dBc requirement for ATG UE.</w:t>
      </w:r>
      <w:bookmarkEnd w:id="1"/>
      <w:bookmarkEnd w:id="2"/>
      <w:bookmarkEnd w:id="3"/>
      <w:bookmarkEnd w:id="4"/>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after="100" w:afterAutospacing="1"/>
        <w:ind w:left="0" w:firstLine="0"/>
        <w:jc w:val="left"/>
        <w:textAlignment w:val="auto"/>
        <w:outlineLvl w:val="1"/>
        <w:rPr>
          <w:rFonts w:hint="default" w:ascii="Arial" w:hAnsi="Arial" w:cs="Arial"/>
          <w:sz w:val="28"/>
          <w:szCs w:val="28"/>
          <w:highlight w:val="none"/>
          <w:lang w:val="en-US" w:eastAsia="zh-CN"/>
        </w:rPr>
      </w:pPr>
      <w:r>
        <w:rPr>
          <w:rFonts w:hint="default" w:ascii="Arial" w:hAnsi="Arial" w:cs="Arial"/>
          <w:sz w:val="28"/>
          <w:szCs w:val="28"/>
          <w:highlight w:val="none"/>
          <w:lang w:val="en-US" w:eastAsia="zh-CN"/>
        </w:rPr>
        <w:t>2.</w:t>
      </w:r>
      <w:r>
        <w:rPr>
          <w:rFonts w:hint="eastAsia" w:ascii="Arial" w:hAnsi="Arial" w:cs="Arial"/>
          <w:sz w:val="28"/>
          <w:szCs w:val="28"/>
          <w:highlight w:val="none"/>
          <w:lang w:val="en-US" w:eastAsia="zh-CN"/>
        </w:rPr>
        <w:t>2</w:t>
      </w:r>
      <w:r>
        <w:rPr>
          <w:rFonts w:hint="default" w:ascii="Arial" w:hAnsi="Arial" w:cs="Arial"/>
          <w:sz w:val="28"/>
          <w:szCs w:val="28"/>
          <w:highlight w:val="none"/>
          <w:lang w:val="en-US" w:eastAsia="zh-CN"/>
        </w:rPr>
        <w:t xml:space="preserve"> </w:t>
      </w:r>
      <w:r>
        <w:rPr>
          <w:rFonts w:hint="eastAsia" w:ascii="Arial" w:hAnsi="Arial" w:cs="Arial"/>
          <w:sz w:val="28"/>
          <w:szCs w:val="28"/>
          <w:highlight w:val="none"/>
          <w:lang w:val="en-US" w:eastAsia="zh-CN"/>
        </w:rPr>
        <w:t>Uns</w:t>
      </w:r>
      <w:r>
        <w:rPr>
          <w:rFonts w:hint="default" w:ascii="Arial" w:hAnsi="Arial" w:cs="Arial"/>
          <w:sz w:val="28"/>
          <w:szCs w:val="28"/>
          <w:highlight w:val="none"/>
          <w:lang w:val="en-US" w:eastAsia="zh-CN"/>
        </w:rPr>
        <w:t>ync scenario</w:t>
      </w:r>
    </w:p>
    <w:p>
      <w:pPr>
        <w:pStyle w:val="19"/>
        <w:shd w:val="clear" w:color="auto" w:fill="FFFFFF"/>
        <w:spacing w:before="60" w:beforeAutospacing="0" w:after="0" w:afterAutospacing="0" w:line="300" w:lineRule="atLeast"/>
        <w:rPr>
          <w:rStyle w:val="27"/>
          <w:rFonts w:hint="default" w:ascii="Times New Roman" w:hAnsi="Times New Roman" w:cs="Times New Roman"/>
          <w:color w:val="auto"/>
          <w:sz w:val="21"/>
          <w:szCs w:val="21"/>
          <w:highlight w:val="none"/>
          <w:shd w:val="clear" w:color="auto" w:fill="FFFFFF"/>
          <w:lang w:val="en-US" w:eastAsia="zh-CN"/>
        </w:rPr>
      </w:pPr>
      <w:r>
        <w:rPr>
          <w:rStyle w:val="27"/>
          <w:rFonts w:hint="eastAsia" w:ascii="Times New Roman" w:hAnsi="Times New Roman" w:cs="Times New Roman"/>
          <w:color w:val="auto"/>
          <w:sz w:val="21"/>
          <w:szCs w:val="21"/>
          <w:highlight w:val="none"/>
          <w:shd w:val="clear" w:color="auto" w:fill="FFFFFF"/>
          <w:lang w:val="en-US" w:eastAsia="zh-CN"/>
        </w:rPr>
        <w:t xml:space="preserve">In the following section, we provided some initial simulation results for ATG and TN CLI analysis to figure out the appropriate isolation distance. </w:t>
      </w:r>
    </w:p>
    <w:p>
      <w:pPr>
        <w:pStyle w:val="19"/>
        <w:shd w:val="clear" w:color="auto" w:fill="FFFFFF"/>
        <w:spacing w:before="60" w:beforeAutospacing="0" w:after="0" w:afterAutospacing="0" w:line="300" w:lineRule="atLeast"/>
        <w:rPr>
          <w:highlight w:val="none"/>
        </w:rPr>
      </w:pPr>
      <w:r>
        <w:rPr>
          <w:highlight w:val="none"/>
        </w:rPr>
        <w:drawing>
          <wp:inline distT="0" distB="0" distL="114300" distR="114300">
            <wp:extent cx="6188075" cy="4068445"/>
            <wp:effectExtent l="0" t="0" r="3175" b="8255"/>
            <wp:docPr id="54"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17"/>
                    <pic:cNvPicPr>
                      <a:picLocks noChangeAspect="1"/>
                    </pic:cNvPicPr>
                  </pic:nvPicPr>
                  <pic:blipFill>
                    <a:blip r:embed="rId18"/>
                    <a:stretch>
                      <a:fillRect/>
                    </a:stretch>
                  </pic:blipFill>
                  <pic:spPr>
                    <a:xfrm>
                      <a:off x="0" y="0"/>
                      <a:ext cx="6188075" cy="4068445"/>
                    </a:xfrm>
                    <a:prstGeom prst="rect">
                      <a:avLst/>
                    </a:prstGeom>
                    <a:noFill/>
                    <a:ln>
                      <a:noFill/>
                    </a:ln>
                  </pic:spPr>
                </pic:pic>
              </a:graphicData>
            </a:graphic>
          </wp:inline>
        </w:drawing>
      </w:r>
    </w:p>
    <w:p>
      <w:pPr>
        <w:autoSpaceDE/>
        <w:autoSpaceDN/>
        <w:adjustRightInd/>
        <w:snapToGrid/>
        <w:spacing w:before="0" w:beforeLines="-2147483648" w:after="0" w:afterLines="-2147483648" w:line="240" w:lineRule="auto"/>
        <w:jc w:val="center"/>
        <w:rPr>
          <w:rFonts w:hint="default"/>
          <w:highlight w:val="none"/>
          <w:lang w:val="en-US" w:eastAsia="zh-CN"/>
        </w:rPr>
      </w:pPr>
      <w:r>
        <w:rPr>
          <w:rFonts w:hint="eastAsia"/>
          <w:b/>
          <w:bCs/>
          <w:highlight w:val="none"/>
          <w:lang w:val="en-US" w:eastAsia="zh-CN"/>
        </w:rPr>
        <w:t>Figure 11</w:t>
      </w:r>
      <w:r>
        <w:rPr>
          <w:rFonts w:hint="eastAsia"/>
          <w:highlight w:val="none"/>
          <w:lang w:val="en-US" w:eastAsia="zh-CN"/>
        </w:rPr>
        <w:t>. illustration of isolation distance between ATG BS and TN cluster</w:t>
      </w:r>
    </w:p>
    <w:p>
      <w:pPr>
        <w:widowControl w:val="0"/>
        <w:spacing w:before="0" w:after="100" w:afterAutospacing="1" w:line="240" w:lineRule="auto"/>
        <w:outlineLvl w:val="2"/>
        <w:rPr>
          <w:rFonts w:hint="eastAsia"/>
          <w:highlight w:val="none"/>
          <w:lang w:val="en-US" w:eastAsia="zh-CN"/>
        </w:rPr>
      </w:pPr>
      <w:r>
        <w:rPr>
          <w:rFonts w:hint="default" w:ascii="Arial" w:hAnsi="Arial" w:cs="Arial"/>
          <w:sz w:val="24"/>
          <w:szCs w:val="24"/>
          <w:highlight w:val="none"/>
          <w:lang w:val="en-US" w:eastAsia="zh-CN"/>
        </w:rPr>
        <w:t>2.</w:t>
      </w:r>
      <w:r>
        <w:rPr>
          <w:rFonts w:hint="eastAsia" w:ascii="Arial" w:hAnsi="Arial" w:cs="Arial"/>
          <w:sz w:val="24"/>
          <w:szCs w:val="24"/>
          <w:highlight w:val="none"/>
          <w:lang w:val="en-US" w:eastAsia="zh-CN"/>
        </w:rPr>
        <w:t>2</w:t>
      </w:r>
      <w:r>
        <w:rPr>
          <w:rFonts w:hint="default" w:ascii="Arial" w:hAnsi="Arial" w:cs="Arial"/>
          <w:sz w:val="24"/>
          <w:szCs w:val="24"/>
          <w:highlight w:val="none"/>
          <w:lang w:val="en-US" w:eastAsia="zh-CN"/>
        </w:rPr>
        <w:t>.</w:t>
      </w:r>
      <w:r>
        <w:rPr>
          <w:rFonts w:hint="eastAsia" w:ascii="Arial" w:hAnsi="Arial" w:cs="Arial"/>
          <w:sz w:val="24"/>
          <w:szCs w:val="24"/>
          <w:highlight w:val="none"/>
          <w:lang w:val="en-US" w:eastAsia="zh-CN"/>
        </w:rPr>
        <w:t>1</w:t>
      </w:r>
      <w:r>
        <w:rPr>
          <w:rFonts w:hint="default" w:ascii="Arial" w:hAnsi="Arial" w:cs="Arial"/>
          <w:sz w:val="24"/>
          <w:szCs w:val="24"/>
          <w:highlight w:val="none"/>
          <w:lang w:val="en-US" w:eastAsia="zh-CN"/>
        </w:rPr>
        <w:t xml:space="preserve"> </w:t>
      </w:r>
      <w:r>
        <w:rPr>
          <w:rFonts w:hint="eastAsia" w:ascii="Arial" w:hAnsi="Arial" w:cs="Arial"/>
          <w:sz w:val="24"/>
          <w:szCs w:val="24"/>
          <w:highlight w:val="none"/>
          <w:lang w:val="en-US" w:eastAsia="zh-CN"/>
        </w:rPr>
        <w:t>Case 5</w:t>
      </w:r>
      <w:r>
        <w:rPr>
          <w:rFonts w:hint="default" w:ascii="Arial" w:hAnsi="Arial" w:cs="Arial"/>
          <w:sz w:val="24"/>
          <w:szCs w:val="24"/>
          <w:highlight w:val="none"/>
          <w:lang w:val="en-US" w:eastAsia="zh-CN"/>
        </w:rPr>
        <w:t xml:space="preserve"> </w:t>
      </w:r>
    </w:p>
    <w:p>
      <w:pPr>
        <w:pStyle w:val="19"/>
        <w:shd w:val="clear" w:color="auto" w:fill="FFFFFF"/>
        <w:spacing w:before="60" w:beforeAutospacing="0" w:after="0" w:afterAutospacing="0" w:line="300" w:lineRule="atLeast"/>
        <w:rPr>
          <w:rStyle w:val="27"/>
          <w:rFonts w:hint="default" w:ascii="Times New Roman" w:hAnsi="Times New Roman" w:cs="Times New Roman"/>
          <w:color w:val="auto"/>
          <w:sz w:val="21"/>
          <w:szCs w:val="21"/>
          <w:highlight w:val="none"/>
          <w:shd w:val="clear" w:color="auto" w:fill="FFFFFF"/>
          <w:lang w:val="en-US" w:eastAsia="zh-CN"/>
        </w:rPr>
      </w:pPr>
      <w:r>
        <w:rPr>
          <w:rStyle w:val="27"/>
          <w:rFonts w:hint="eastAsia" w:ascii="Times New Roman" w:hAnsi="Times New Roman" w:cs="Times New Roman"/>
          <w:color w:val="auto"/>
          <w:sz w:val="21"/>
          <w:szCs w:val="21"/>
          <w:highlight w:val="none"/>
          <w:shd w:val="clear" w:color="auto" w:fill="FFFFFF"/>
          <w:lang w:val="en-US" w:eastAsia="zh-CN"/>
        </w:rPr>
        <w:t xml:space="preserve">In the following figure 12a, the simulation results for ATG BS and TN BS with 100% grid shift considered, it could found that about 20% throughput loss of cell edge users. It should be noted that all sectors considered in this evaluation scenario, if only most affected cells to be considered, then more throughput loss could be expected. </w:t>
      </w:r>
    </w:p>
    <w:p>
      <w:pPr>
        <w:pStyle w:val="19"/>
        <w:pBdr>
          <w:top w:val="none" w:color="auto" w:sz="0" w:space="0"/>
          <w:left w:val="none" w:color="auto" w:sz="0" w:space="0"/>
          <w:bottom w:val="none" w:color="auto" w:sz="0" w:space="0"/>
          <w:right w:val="none" w:color="auto" w:sz="0" w:space="0"/>
          <w:between w:val="none" w:color="auto" w:sz="0" w:space="0"/>
        </w:pBdr>
        <w:shd w:val="clear" w:color="auto" w:fill="FFFFFF"/>
        <w:spacing w:before="60" w:beforeAutospacing="0" w:after="0" w:afterAutospacing="0" w:line="300" w:lineRule="atLeast"/>
        <w:rPr>
          <w:rFonts w:hint="eastAsia"/>
          <w:highlight w:val="none"/>
          <w:lang w:val="en-US" w:eastAsia="zh-CN"/>
        </w:rPr>
      </w:pPr>
    </w:p>
    <w:p>
      <w:pPr>
        <w:pStyle w:val="19"/>
        <w:pBdr>
          <w:top w:val="none" w:color="auto" w:sz="0" w:space="0"/>
          <w:left w:val="none" w:color="auto" w:sz="0" w:space="0"/>
          <w:bottom w:val="none" w:color="auto" w:sz="0" w:space="0"/>
          <w:right w:val="none" w:color="auto" w:sz="0" w:space="0"/>
          <w:between w:val="none" w:color="auto" w:sz="0" w:space="0"/>
        </w:pBdr>
        <w:shd w:val="clear" w:color="auto" w:fill="FFFFFF"/>
        <w:spacing w:before="60" w:beforeAutospacing="0" w:after="0" w:afterAutospacing="0" w:line="300" w:lineRule="atLeast"/>
        <w:jc w:val="center"/>
        <w:rPr>
          <w:highlight w:val="none"/>
        </w:rPr>
      </w:pPr>
      <w:r>
        <w:rPr>
          <w:highlight w:val="none"/>
        </w:rPr>
        <w:drawing>
          <wp:inline distT="0" distB="0" distL="114300" distR="114300">
            <wp:extent cx="3238500" cy="2428875"/>
            <wp:effectExtent l="0" t="0" r="0" b="9525"/>
            <wp:docPr id="5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13"/>
                    <pic:cNvPicPr>
                      <a:picLocks noChangeAspect="1"/>
                    </pic:cNvPicPr>
                  </pic:nvPicPr>
                  <pic:blipFill>
                    <a:blip r:embed="rId19"/>
                    <a:stretch>
                      <a:fillRect/>
                    </a:stretch>
                  </pic:blipFill>
                  <pic:spPr>
                    <a:xfrm>
                      <a:off x="0" y="0"/>
                      <a:ext cx="3238500" cy="2428875"/>
                    </a:xfrm>
                    <a:prstGeom prst="rect">
                      <a:avLst/>
                    </a:prstGeom>
                    <a:noFill/>
                    <a:ln>
                      <a:noFill/>
                    </a:ln>
                  </pic:spPr>
                </pic:pic>
              </a:graphicData>
            </a:graphic>
          </wp:inline>
        </w:drawing>
      </w:r>
    </w:p>
    <w:p>
      <w:pPr>
        <w:pStyle w:val="54"/>
        <w:keepNext/>
        <w:keepLines/>
        <w:numPr>
          <w:ilvl w:val="0"/>
          <w:numId w:val="0"/>
        </w:numPr>
        <w:pBdr>
          <w:top w:val="none" w:color="auto" w:sz="0" w:space="0"/>
          <w:left w:val="none" w:color="auto" w:sz="0" w:space="0"/>
          <w:bottom w:val="none" w:color="auto" w:sz="0" w:space="0"/>
          <w:right w:val="none" w:color="auto" w:sz="0" w:space="0"/>
          <w:between w:val="none" w:color="auto" w:sz="0" w:space="0"/>
        </w:pBdr>
        <w:tabs>
          <w:tab w:val="left" w:pos="567"/>
          <w:tab w:val="clear" w:pos="1985"/>
        </w:tabs>
        <w:adjustRightInd w:val="0"/>
        <w:spacing w:before="240" w:after="180"/>
        <w:jc w:val="center"/>
        <w:outlineLvl w:val="9"/>
        <w:rPr>
          <w:rFonts w:hint="eastAsia" w:ascii="Times New Roman" w:hAnsi="Times New Roman"/>
          <w:kern w:val="2"/>
          <w:sz w:val="21"/>
          <w:szCs w:val="22"/>
          <w:highlight w:val="none"/>
          <w:lang w:val="en-US" w:eastAsia="zh-CN"/>
        </w:rPr>
      </w:pPr>
      <w:r>
        <w:rPr>
          <w:rFonts w:hint="eastAsia" w:ascii="Times New Roman" w:hAnsi="Times New Roman"/>
          <w:kern w:val="2"/>
          <w:sz w:val="21"/>
          <w:szCs w:val="22"/>
          <w:highlight w:val="none"/>
          <w:lang w:val="en-US" w:eastAsia="zh-CN"/>
        </w:rPr>
        <w:t>Figure 12a simulation results for Case 5 [all TN sectors considered]</w:t>
      </w:r>
    </w:p>
    <w:p>
      <w:pPr>
        <w:pStyle w:val="19"/>
        <w:pBdr>
          <w:top w:val="none" w:color="auto" w:sz="0" w:space="0"/>
          <w:left w:val="none" w:color="auto" w:sz="0" w:space="0"/>
          <w:bottom w:val="none" w:color="auto" w:sz="0" w:space="0"/>
          <w:right w:val="none" w:color="auto" w:sz="0" w:space="0"/>
          <w:between w:val="none" w:color="auto" w:sz="0" w:space="0"/>
        </w:pBdr>
        <w:shd w:val="clear" w:color="auto" w:fill="FFFFFF"/>
        <w:spacing w:before="60" w:beforeAutospacing="0" w:after="0" w:afterAutospacing="0" w:line="300" w:lineRule="atLeast"/>
        <w:rPr>
          <w:rStyle w:val="27"/>
          <w:rFonts w:hint="default" w:ascii="Times New Roman" w:hAnsi="Times New Roman" w:cs="Times New Roman"/>
          <w:color w:val="auto"/>
          <w:sz w:val="21"/>
          <w:szCs w:val="21"/>
          <w:highlight w:val="none"/>
          <w:shd w:val="clear" w:color="auto" w:fill="FFFFFF"/>
          <w:lang w:val="en-US" w:eastAsia="zh-CN"/>
        </w:rPr>
      </w:pPr>
      <w:r>
        <w:rPr>
          <w:rStyle w:val="27"/>
          <w:rFonts w:hint="eastAsia" w:ascii="Times New Roman" w:hAnsi="Times New Roman" w:cs="Times New Roman"/>
          <w:color w:val="auto"/>
          <w:sz w:val="21"/>
          <w:szCs w:val="21"/>
          <w:highlight w:val="none"/>
          <w:shd w:val="clear" w:color="auto" w:fill="FFFFFF"/>
          <w:lang w:val="en-US" w:eastAsia="zh-CN"/>
        </w:rPr>
        <w:t xml:space="preserve">In the following figure 12b, the simulation results for ATG BS and TN BS with isolation distance as shown in Figure11, it could found that about throughput loss of cell edge users would be down to 5% which is usually acceptable from RAN4 perspective. It should be noted that all sectors considered in this evaluation scenario, if only most affected cells to be considered, then more throughput loss could be expected and more isolation distance are needed.. </w:t>
      </w:r>
    </w:p>
    <w:p>
      <w:pPr>
        <w:pStyle w:val="40"/>
        <w:pBdr>
          <w:top w:val="none" w:color="auto" w:sz="0" w:space="0"/>
          <w:left w:val="none" w:color="auto" w:sz="0" w:space="0"/>
          <w:bottom w:val="none" w:color="auto" w:sz="0" w:space="0"/>
          <w:right w:val="none" w:color="auto" w:sz="0" w:space="0"/>
          <w:between w:val="none" w:color="auto" w:sz="0" w:space="0"/>
        </w:pBdr>
        <w:rPr>
          <w:rFonts w:hint="eastAsia"/>
          <w:highlight w:val="none"/>
          <w:lang w:val="en-US" w:eastAsia="zh-CN"/>
        </w:rPr>
      </w:pPr>
    </w:p>
    <w:p>
      <w:pPr>
        <w:pStyle w:val="19"/>
        <w:pBdr>
          <w:top w:val="none" w:color="auto" w:sz="0" w:space="0"/>
          <w:left w:val="none" w:color="auto" w:sz="0" w:space="0"/>
          <w:bottom w:val="none" w:color="auto" w:sz="0" w:space="0"/>
          <w:right w:val="none" w:color="auto" w:sz="0" w:space="0"/>
          <w:between w:val="none" w:color="auto" w:sz="0" w:space="0"/>
        </w:pBdr>
        <w:shd w:val="clear" w:color="auto" w:fill="FFFFFF"/>
        <w:spacing w:before="60" w:beforeAutospacing="0" w:after="0" w:afterAutospacing="0" w:line="300" w:lineRule="atLeast"/>
        <w:jc w:val="center"/>
        <w:rPr>
          <w:highlight w:val="none"/>
        </w:rPr>
      </w:pPr>
      <w:r>
        <w:rPr>
          <w:highlight w:val="none"/>
        </w:rPr>
        <w:drawing>
          <wp:inline distT="0" distB="0" distL="114300" distR="114300">
            <wp:extent cx="3238500" cy="2428875"/>
            <wp:effectExtent l="0" t="0" r="0" b="9525"/>
            <wp:docPr id="5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16"/>
                    <pic:cNvPicPr>
                      <a:picLocks noChangeAspect="1"/>
                    </pic:cNvPicPr>
                  </pic:nvPicPr>
                  <pic:blipFill>
                    <a:blip r:embed="rId20"/>
                    <a:stretch>
                      <a:fillRect/>
                    </a:stretch>
                  </pic:blipFill>
                  <pic:spPr>
                    <a:xfrm>
                      <a:off x="0" y="0"/>
                      <a:ext cx="3238500" cy="2428875"/>
                    </a:xfrm>
                    <a:prstGeom prst="rect">
                      <a:avLst/>
                    </a:prstGeom>
                    <a:noFill/>
                    <a:ln>
                      <a:noFill/>
                    </a:ln>
                  </pic:spPr>
                </pic:pic>
              </a:graphicData>
            </a:graphic>
          </wp:inline>
        </w:drawing>
      </w:r>
    </w:p>
    <w:p>
      <w:pPr>
        <w:pStyle w:val="54"/>
        <w:keepNext/>
        <w:keepLines/>
        <w:numPr>
          <w:ilvl w:val="0"/>
          <w:numId w:val="0"/>
        </w:numPr>
        <w:pBdr>
          <w:top w:val="none" w:color="auto" w:sz="0" w:space="0"/>
          <w:left w:val="none" w:color="auto" w:sz="0" w:space="0"/>
          <w:bottom w:val="none" w:color="auto" w:sz="0" w:space="0"/>
          <w:right w:val="none" w:color="auto" w:sz="0" w:space="0"/>
          <w:between w:val="none" w:color="auto" w:sz="0" w:space="0"/>
        </w:pBdr>
        <w:tabs>
          <w:tab w:val="left" w:pos="567"/>
          <w:tab w:val="clear" w:pos="1985"/>
        </w:tabs>
        <w:adjustRightInd w:val="0"/>
        <w:spacing w:before="240" w:after="180"/>
        <w:jc w:val="center"/>
        <w:outlineLvl w:val="9"/>
        <w:rPr>
          <w:rFonts w:hint="eastAsia" w:ascii="Times New Roman" w:hAnsi="Times New Roman"/>
          <w:kern w:val="2"/>
          <w:sz w:val="21"/>
          <w:szCs w:val="22"/>
          <w:highlight w:val="none"/>
          <w:lang w:val="en-US" w:eastAsia="zh-CN"/>
        </w:rPr>
      </w:pPr>
      <w:r>
        <w:rPr>
          <w:rFonts w:hint="eastAsia" w:ascii="Times New Roman" w:hAnsi="Times New Roman"/>
          <w:kern w:val="2"/>
          <w:sz w:val="21"/>
          <w:szCs w:val="22"/>
          <w:highlight w:val="none"/>
          <w:lang w:val="en-US" w:eastAsia="zh-CN"/>
        </w:rPr>
        <w:t>Figure 12b simulation results for Case 5 [all TN sectors considered]</w:t>
      </w:r>
    </w:p>
    <w:p>
      <w:pPr>
        <w:widowControl w:val="0"/>
        <w:pBdr>
          <w:top w:val="none" w:color="auto" w:sz="0" w:space="0"/>
          <w:left w:val="none" w:color="auto" w:sz="0" w:space="0"/>
          <w:bottom w:val="none" w:color="auto" w:sz="0" w:space="0"/>
          <w:right w:val="none" w:color="auto" w:sz="0" w:space="0"/>
          <w:between w:val="none" w:color="auto" w:sz="0" w:space="0"/>
        </w:pBdr>
        <w:spacing w:before="0" w:after="100" w:afterAutospacing="1" w:line="240" w:lineRule="auto"/>
        <w:outlineLvl w:val="2"/>
        <w:rPr>
          <w:rStyle w:val="27"/>
          <w:rFonts w:hint="eastAsia" w:ascii="Times New Roman" w:hAnsi="Times New Roman" w:cs="Times New Roman"/>
          <w:color w:val="auto"/>
          <w:sz w:val="21"/>
          <w:szCs w:val="21"/>
          <w:highlight w:val="none"/>
          <w:shd w:val="clear" w:color="auto" w:fill="FFFFFF"/>
          <w:lang w:val="en-US" w:eastAsia="zh-CN"/>
        </w:rPr>
      </w:pPr>
      <w:r>
        <w:rPr>
          <w:rFonts w:hint="default" w:ascii="Arial" w:hAnsi="Arial" w:cs="Arial"/>
          <w:sz w:val="24"/>
          <w:szCs w:val="24"/>
          <w:highlight w:val="none"/>
          <w:lang w:val="en-US" w:eastAsia="zh-CN"/>
        </w:rPr>
        <w:t>2.</w:t>
      </w:r>
      <w:r>
        <w:rPr>
          <w:rFonts w:hint="eastAsia" w:ascii="Arial" w:hAnsi="Arial" w:cs="Arial"/>
          <w:sz w:val="24"/>
          <w:szCs w:val="24"/>
          <w:highlight w:val="none"/>
          <w:lang w:val="en-US" w:eastAsia="zh-CN"/>
        </w:rPr>
        <w:t>2</w:t>
      </w:r>
      <w:r>
        <w:rPr>
          <w:rFonts w:hint="default" w:ascii="Arial" w:hAnsi="Arial" w:cs="Arial"/>
          <w:sz w:val="24"/>
          <w:szCs w:val="24"/>
          <w:highlight w:val="none"/>
          <w:lang w:val="en-US" w:eastAsia="zh-CN"/>
        </w:rPr>
        <w:t>.</w:t>
      </w:r>
      <w:r>
        <w:rPr>
          <w:rFonts w:hint="eastAsia" w:ascii="Arial" w:hAnsi="Arial" w:cs="Arial"/>
          <w:sz w:val="24"/>
          <w:szCs w:val="24"/>
          <w:highlight w:val="none"/>
          <w:lang w:val="en-US" w:eastAsia="zh-CN"/>
        </w:rPr>
        <w:t>2</w:t>
      </w:r>
      <w:r>
        <w:rPr>
          <w:rFonts w:hint="default" w:ascii="Arial" w:hAnsi="Arial" w:cs="Arial"/>
          <w:sz w:val="24"/>
          <w:szCs w:val="24"/>
          <w:highlight w:val="none"/>
          <w:lang w:val="en-US" w:eastAsia="zh-CN"/>
        </w:rPr>
        <w:t xml:space="preserve"> </w:t>
      </w:r>
      <w:r>
        <w:rPr>
          <w:rFonts w:hint="eastAsia" w:ascii="Arial" w:hAnsi="Arial" w:cs="Arial"/>
          <w:sz w:val="24"/>
          <w:szCs w:val="24"/>
          <w:highlight w:val="none"/>
          <w:lang w:val="en-US" w:eastAsia="zh-CN"/>
        </w:rPr>
        <w:t>Case 6</w:t>
      </w:r>
      <w:r>
        <w:rPr>
          <w:rFonts w:hint="default" w:ascii="Arial" w:hAnsi="Arial" w:cs="Arial"/>
          <w:sz w:val="24"/>
          <w:szCs w:val="24"/>
          <w:highlight w:val="none"/>
          <w:lang w:val="en-US" w:eastAsia="zh-CN"/>
        </w:rPr>
        <w:t xml:space="preserve"> </w:t>
      </w:r>
    </w:p>
    <w:p>
      <w:pPr>
        <w:pStyle w:val="19"/>
        <w:pBdr>
          <w:top w:val="none" w:color="auto" w:sz="0" w:space="0"/>
          <w:left w:val="none" w:color="auto" w:sz="0" w:space="0"/>
          <w:bottom w:val="none" w:color="auto" w:sz="0" w:space="0"/>
          <w:right w:val="none" w:color="auto" w:sz="0" w:space="0"/>
          <w:between w:val="none" w:color="auto" w:sz="0" w:space="0"/>
        </w:pBdr>
        <w:shd w:val="clear" w:color="auto" w:fill="FFFFFF"/>
        <w:spacing w:before="60" w:beforeAutospacing="0" w:after="0" w:afterAutospacing="0" w:line="300" w:lineRule="atLeast"/>
        <w:jc w:val="left"/>
        <w:rPr>
          <w:highlight w:val="none"/>
        </w:rPr>
      </w:pPr>
      <w:r>
        <w:rPr>
          <w:rStyle w:val="27"/>
          <w:rFonts w:hint="eastAsia" w:ascii="Times New Roman" w:hAnsi="Times New Roman" w:cs="Times New Roman"/>
          <w:color w:val="auto"/>
          <w:sz w:val="21"/>
          <w:szCs w:val="21"/>
          <w:highlight w:val="none"/>
          <w:shd w:val="clear" w:color="auto" w:fill="FFFFFF"/>
          <w:lang w:val="en-US" w:eastAsia="zh-CN"/>
        </w:rPr>
        <w:t>In the following figure 13a and 13b, ATG UL interfering TN DL, the interference are quite limited due to far distance between TN UEs and ATG CPE.</w:t>
      </w:r>
    </w:p>
    <w:p>
      <w:pPr>
        <w:pStyle w:val="54"/>
        <w:keepNext/>
        <w:keepLines/>
        <w:numPr>
          <w:ilvl w:val="0"/>
          <w:numId w:val="0"/>
        </w:numPr>
        <w:pBdr>
          <w:top w:val="none" w:color="auto" w:sz="0" w:space="0"/>
          <w:left w:val="none" w:color="auto" w:sz="0" w:space="0"/>
          <w:bottom w:val="none" w:color="auto" w:sz="0" w:space="0"/>
          <w:right w:val="none" w:color="auto" w:sz="0" w:space="0"/>
          <w:between w:val="none" w:color="auto" w:sz="0" w:space="0"/>
        </w:pBdr>
        <w:tabs>
          <w:tab w:val="left" w:pos="567"/>
          <w:tab w:val="clear" w:pos="1985"/>
        </w:tabs>
        <w:adjustRightInd w:val="0"/>
        <w:spacing w:before="240" w:after="180"/>
        <w:jc w:val="center"/>
        <w:outlineLvl w:val="9"/>
        <w:rPr>
          <w:rFonts w:hint="eastAsia" w:ascii="Times New Roman" w:hAnsi="Times New Roman"/>
          <w:kern w:val="2"/>
          <w:sz w:val="21"/>
          <w:szCs w:val="22"/>
          <w:highlight w:val="none"/>
          <w:lang w:val="en-US" w:eastAsia="zh-CN"/>
        </w:rPr>
      </w:pPr>
    </w:p>
    <w:p>
      <w:pPr>
        <w:pStyle w:val="19"/>
        <w:pBdr>
          <w:top w:val="none" w:color="auto" w:sz="0" w:space="0"/>
          <w:left w:val="none" w:color="auto" w:sz="0" w:space="0"/>
          <w:bottom w:val="none" w:color="auto" w:sz="0" w:space="0"/>
          <w:right w:val="none" w:color="auto" w:sz="0" w:space="0"/>
          <w:between w:val="none" w:color="auto" w:sz="0" w:space="0"/>
        </w:pBdr>
        <w:shd w:val="clear" w:color="auto" w:fill="FFFFFF"/>
        <w:spacing w:before="60" w:beforeAutospacing="0" w:after="0" w:afterAutospacing="0" w:line="300" w:lineRule="atLeast"/>
        <w:jc w:val="center"/>
        <w:rPr>
          <w:highlight w:val="none"/>
        </w:rPr>
      </w:pPr>
      <w:r>
        <w:rPr>
          <w:highlight w:val="none"/>
        </w:rPr>
        <w:drawing>
          <wp:inline distT="0" distB="0" distL="114300" distR="114300">
            <wp:extent cx="3238500" cy="2428875"/>
            <wp:effectExtent l="0" t="0" r="0" b="9525"/>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pic:cNvPicPr>
                  </pic:nvPicPr>
                  <pic:blipFill>
                    <a:blip r:embed="rId21"/>
                    <a:stretch>
                      <a:fillRect/>
                    </a:stretch>
                  </pic:blipFill>
                  <pic:spPr>
                    <a:xfrm>
                      <a:off x="0" y="0"/>
                      <a:ext cx="3238500" cy="2428875"/>
                    </a:xfrm>
                    <a:prstGeom prst="rect">
                      <a:avLst/>
                    </a:prstGeom>
                    <a:noFill/>
                    <a:ln>
                      <a:noFill/>
                    </a:ln>
                  </pic:spPr>
                </pic:pic>
              </a:graphicData>
            </a:graphic>
          </wp:inline>
        </w:drawing>
      </w:r>
    </w:p>
    <w:p>
      <w:pPr>
        <w:pStyle w:val="54"/>
        <w:keepNext/>
        <w:keepLines/>
        <w:widowControl/>
        <w:numPr>
          <w:ilvl w:val="0"/>
          <w:numId w:val="0"/>
        </w:numPr>
        <w:pBdr>
          <w:top w:val="none" w:color="auto" w:sz="0" w:space="0"/>
          <w:left w:val="none" w:color="auto" w:sz="0" w:space="0"/>
          <w:bottom w:val="none" w:color="auto" w:sz="0" w:space="0"/>
          <w:right w:val="none" w:color="auto" w:sz="0" w:space="0"/>
          <w:between w:val="none" w:color="auto" w:sz="0" w:space="0"/>
        </w:pBdr>
        <w:tabs>
          <w:tab w:val="left" w:pos="567"/>
          <w:tab w:val="clear" w:pos="1985"/>
        </w:tabs>
        <w:adjustRightInd w:val="0"/>
        <w:spacing w:before="240" w:after="180"/>
        <w:jc w:val="center"/>
        <w:outlineLvl w:val="9"/>
        <w:rPr>
          <w:rFonts w:hint="default" w:ascii="Times New Roman" w:hAnsi="Times New Roman"/>
          <w:kern w:val="2"/>
          <w:sz w:val="21"/>
          <w:szCs w:val="22"/>
          <w:highlight w:val="none"/>
          <w:lang w:val="en-US" w:eastAsia="zh-CN"/>
        </w:rPr>
      </w:pPr>
      <w:r>
        <w:rPr>
          <w:rFonts w:hint="eastAsia" w:ascii="Times New Roman" w:hAnsi="Times New Roman"/>
          <w:kern w:val="2"/>
          <w:sz w:val="21"/>
          <w:szCs w:val="22"/>
          <w:highlight w:val="none"/>
          <w:lang w:val="en-US" w:eastAsia="zh-CN"/>
        </w:rPr>
        <w:t>Figure 13a simulation results for Case 6 [non co-located]</w:t>
      </w:r>
    </w:p>
    <w:p>
      <w:pPr>
        <w:pStyle w:val="54"/>
        <w:keepNext/>
        <w:keepLines/>
        <w:numPr>
          <w:ilvl w:val="0"/>
          <w:numId w:val="0"/>
        </w:numPr>
        <w:pBdr>
          <w:top w:val="none" w:color="auto" w:sz="0" w:space="0"/>
          <w:left w:val="none" w:color="auto" w:sz="0" w:space="0"/>
          <w:bottom w:val="none" w:color="auto" w:sz="0" w:space="0"/>
          <w:right w:val="none" w:color="auto" w:sz="0" w:space="0"/>
          <w:between w:val="none" w:color="auto" w:sz="0" w:space="0"/>
        </w:pBdr>
        <w:tabs>
          <w:tab w:val="left" w:pos="567"/>
          <w:tab w:val="clear" w:pos="1985"/>
        </w:tabs>
        <w:adjustRightInd w:val="0"/>
        <w:spacing w:before="240" w:after="180"/>
        <w:jc w:val="center"/>
        <w:outlineLvl w:val="9"/>
        <w:rPr>
          <w:rFonts w:hint="eastAsia" w:ascii="Times New Roman" w:hAnsi="Times New Roman"/>
          <w:kern w:val="2"/>
          <w:sz w:val="21"/>
          <w:szCs w:val="22"/>
          <w:highlight w:val="none"/>
          <w:lang w:val="en-US" w:eastAsia="zh-CN"/>
        </w:rPr>
      </w:pPr>
    </w:p>
    <w:p>
      <w:pPr>
        <w:pStyle w:val="19"/>
        <w:pBdr>
          <w:top w:val="none" w:color="auto" w:sz="0" w:space="0"/>
          <w:left w:val="none" w:color="auto" w:sz="0" w:space="0"/>
          <w:bottom w:val="none" w:color="auto" w:sz="0" w:space="0"/>
          <w:right w:val="none" w:color="auto" w:sz="0" w:space="0"/>
          <w:between w:val="none" w:color="auto" w:sz="0" w:space="0"/>
        </w:pBdr>
        <w:shd w:val="clear" w:color="auto" w:fill="FFFFFF"/>
        <w:spacing w:before="60" w:beforeAutospacing="0" w:after="0" w:afterAutospacing="0" w:line="300" w:lineRule="atLeast"/>
        <w:jc w:val="center"/>
        <w:rPr>
          <w:highlight w:val="none"/>
        </w:rPr>
      </w:pPr>
      <w:r>
        <w:rPr>
          <w:highlight w:val="none"/>
        </w:rPr>
        <w:drawing>
          <wp:inline distT="0" distB="0" distL="114300" distR="114300">
            <wp:extent cx="3238500" cy="2428875"/>
            <wp:effectExtent l="0" t="0" r="0" b="9525"/>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pic:cNvPicPr>
                      <a:picLocks noChangeAspect="1"/>
                    </pic:cNvPicPr>
                  </pic:nvPicPr>
                  <pic:blipFill>
                    <a:blip r:embed="rId22"/>
                    <a:stretch>
                      <a:fillRect/>
                    </a:stretch>
                  </pic:blipFill>
                  <pic:spPr>
                    <a:xfrm>
                      <a:off x="0" y="0"/>
                      <a:ext cx="3238500" cy="2428875"/>
                    </a:xfrm>
                    <a:prstGeom prst="rect">
                      <a:avLst/>
                    </a:prstGeom>
                    <a:noFill/>
                    <a:ln>
                      <a:noFill/>
                    </a:ln>
                  </pic:spPr>
                </pic:pic>
              </a:graphicData>
            </a:graphic>
          </wp:inline>
        </w:drawing>
      </w:r>
    </w:p>
    <w:p>
      <w:pPr>
        <w:pStyle w:val="54"/>
        <w:keepNext/>
        <w:keepLines/>
        <w:numPr>
          <w:ilvl w:val="0"/>
          <w:numId w:val="0"/>
        </w:numPr>
        <w:pBdr>
          <w:top w:val="none" w:color="auto" w:sz="0" w:space="0"/>
          <w:left w:val="none" w:color="auto" w:sz="0" w:space="0"/>
          <w:bottom w:val="none" w:color="auto" w:sz="0" w:space="0"/>
          <w:right w:val="none" w:color="auto" w:sz="0" w:space="0"/>
          <w:between w:val="none" w:color="auto" w:sz="0" w:space="0"/>
        </w:pBdr>
        <w:tabs>
          <w:tab w:val="left" w:pos="567"/>
          <w:tab w:val="clear" w:pos="1985"/>
        </w:tabs>
        <w:adjustRightInd w:val="0"/>
        <w:spacing w:before="240" w:after="180"/>
        <w:jc w:val="center"/>
        <w:outlineLvl w:val="9"/>
        <w:rPr>
          <w:rFonts w:hint="default" w:ascii="Times New Roman" w:hAnsi="Times New Roman"/>
          <w:kern w:val="2"/>
          <w:sz w:val="21"/>
          <w:szCs w:val="22"/>
          <w:highlight w:val="none"/>
          <w:lang w:val="en-US" w:eastAsia="zh-CN"/>
        </w:rPr>
      </w:pPr>
      <w:r>
        <w:rPr>
          <w:rFonts w:hint="eastAsia" w:ascii="Times New Roman" w:hAnsi="Times New Roman"/>
          <w:kern w:val="2"/>
          <w:sz w:val="21"/>
          <w:szCs w:val="22"/>
          <w:highlight w:val="none"/>
          <w:lang w:val="en-US" w:eastAsia="zh-CN"/>
        </w:rPr>
        <w:t>Figure 13b simulation results for Case 6 [co-located]</w:t>
      </w:r>
    </w:p>
    <w:p>
      <w:pPr>
        <w:widowControl w:val="0"/>
        <w:pBdr>
          <w:top w:val="none" w:color="auto" w:sz="0" w:space="0"/>
          <w:left w:val="none" w:color="auto" w:sz="0" w:space="0"/>
          <w:bottom w:val="none" w:color="auto" w:sz="0" w:space="0"/>
          <w:right w:val="none" w:color="auto" w:sz="0" w:space="0"/>
          <w:between w:val="none" w:color="auto" w:sz="0" w:space="0"/>
        </w:pBdr>
        <w:spacing w:before="0" w:after="100" w:afterAutospacing="1" w:line="240" w:lineRule="auto"/>
        <w:outlineLvl w:val="2"/>
        <w:rPr>
          <w:rStyle w:val="27"/>
          <w:rFonts w:hint="default" w:ascii="Times New Roman" w:hAnsi="Times New Roman" w:cs="Times New Roman"/>
          <w:color w:val="auto"/>
          <w:sz w:val="21"/>
          <w:szCs w:val="21"/>
          <w:highlight w:val="none"/>
          <w:shd w:val="clear" w:color="auto" w:fill="FFFFFF"/>
          <w:lang w:val="en-US" w:eastAsia="zh-CN"/>
        </w:rPr>
      </w:pPr>
      <w:r>
        <w:rPr>
          <w:rFonts w:hint="default" w:ascii="Arial" w:hAnsi="Arial" w:cs="Arial"/>
          <w:sz w:val="24"/>
          <w:szCs w:val="24"/>
          <w:highlight w:val="none"/>
          <w:lang w:val="en-US" w:eastAsia="zh-CN"/>
        </w:rPr>
        <w:t>2.</w:t>
      </w:r>
      <w:r>
        <w:rPr>
          <w:rFonts w:hint="eastAsia" w:ascii="Arial" w:hAnsi="Arial" w:cs="Arial"/>
          <w:sz w:val="24"/>
          <w:szCs w:val="24"/>
          <w:highlight w:val="none"/>
          <w:lang w:val="en-US" w:eastAsia="zh-CN"/>
        </w:rPr>
        <w:t>2</w:t>
      </w:r>
      <w:r>
        <w:rPr>
          <w:rFonts w:hint="default" w:ascii="Arial" w:hAnsi="Arial" w:cs="Arial"/>
          <w:sz w:val="24"/>
          <w:szCs w:val="24"/>
          <w:highlight w:val="none"/>
          <w:lang w:val="en-US" w:eastAsia="zh-CN"/>
        </w:rPr>
        <w:t>.</w:t>
      </w:r>
      <w:r>
        <w:rPr>
          <w:rFonts w:hint="eastAsia" w:ascii="Arial" w:hAnsi="Arial" w:cs="Arial"/>
          <w:sz w:val="24"/>
          <w:szCs w:val="24"/>
          <w:highlight w:val="none"/>
          <w:lang w:val="en-US" w:eastAsia="zh-CN"/>
        </w:rPr>
        <w:t>3</w:t>
      </w:r>
      <w:r>
        <w:rPr>
          <w:rFonts w:hint="default" w:ascii="Arial" w:hAnsi="Arial" w:cs="Arial"/>
          <w:sz w:val="24"/>
          <w:szCs w:val="24"/>
          <w:highlight w:val="none"/>
          <w:lang w:val="en-US" w:eastAsia="zh-CN"/>
        </w:rPr>
        <w:t xml:space="preserve"> </w:t>
      </w:r>
      <w:r>
        <w:rPr>
          <w:rFonts w:hint="eastAsia" w:ascii="Arial" w:hAnsi="Arial" w:cs="Arial"/>
          <w:sz w:val="24"/>
          <w:szCs w:val="24"/>
          <w:highlight w:val="none"/>
          <w:lang w:val="en-US" w:eastAsia="zh-CN"/>
        </w:rPr>
        <w:t>Case 7</w:t>
      </w:r>
    </w:p>
    <w:p>
      <w:pPr>
        <w:pStyle w:val="19"/>
        <w:pBdr>
          <w:top w:val="none" w:color="auto" w:sz="0" w:space="0"/>
          <w:left w:val="none" w:color="auto" w:sz="0" w:space="0"/>
          <w:bottom w:val="none" w:color="auto" w:sz="0" w:space="0"/>
          <w:right w:val="none" w:color="auto" w:sz="0" w:space="0"/>
          <w:between w:val="none" w:color="auto" w:sz="0" w:space="0"/>
        </w:pBdr>
        <w:shd w:val="clear" w:color="auto" w:fill="FFFFFF"/>
        <w:spacing w:before="60" w:beforeAutospacing="0" w:after="0" w:afterAutospacing="0" w:line="300" w:lineRule="atLeast"/>
        <w:jc w:val="left"/>
        <w:rPr>
          <w:rFonts w:hint="default"/>
          <w:highlight w:val="none"/>
          <w:lang w:val="en-US"/>
        </w:rPr>
      </w:pPr>
      <w:r>
        <w:rPr>
          <w:rStyle w:val="27"/>
          <w:rFonts w:hint="eastAsia" w:ascii="Times New Roman" w:hAnsi="Times New Roman" w:cs="Times New Roman"/>
          <w:color w:val="auto"/>
          <w:sz w:val="21"/>
          <w:szCs w:val="21"/>
          <w:highlight w:val="none"/>
          <w:shd w:val="clear" w:color="auto" w:fill="FFFFFF"/>
          <w:lang w:val="en-US" w:eastAsia="zh-CN"/>
        </w:rPr>
        <w:t xml:space="preserve">In the following figure 14a and 14b, TN DL interfering ATG UL, there are relative high interference, however due to the high SINR within the ATG uplink carrier, therefore the tolerance for ACI is still okay. If with 3*ISD isolation as shown in Figure 14b, the ACI from TN DL would be further reduced and there would be no coexistence problems anymore. </w:t>
      </w:r>
    </w:p>
    <w:p>
      <w:pPr>
        <w:pStyle w:val="40"/>
        <w:pBdr>
          <w:top w:val="none" w:color="auto" w:sz="0" w:space="0"/>
          <w:left w:val="none" w:color="auto" w:sz="0" w:space="0"/>
          <w:bottom w:val="none" w:color="auto" w:sz="0" w:space="0"/>
          <w:right w:val="none" w:color="auto" w:sz="0" w:space="0"/>
          <w:between w:val="none" w:color="auto" w:sz="0" w:space="0"/>
        </w:pBdr>
        <w:jc w:val="center"/>
        <w:rPr>
          <w:highlight w:val="none"/>
        </w:rPr>
      </w:pPr>
      <w:r>
        <w:rPr>
          <w:highlight w:val="none"/>
        </w:rPr>
        <w:drawing>
          <wp:inline distT="0" distB="0" distL="114300" distR="114300">
            <wp:extent cx="3238500" cy="2428875"/>
            <wp:effectExtent l="0" t="0" r="0" b="9525"/>
            <wp:docPr id="6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4"/>
                    <pic:cNvPicPr>
                      <a:picLocks noChangeAspect="1"/>
                    </pic:cNvPicPr>
                  </pic:nvPicPr>
                  <pic:blipFill>
                    <a:blip r:embed="rId23"/>
                    <a:stretch>
                      <a:fillRect/>
                    </a:stretch>
                  </pic:blipFill>
                  <pic:spPr>
                    <a:xfrm>
                      <a:off x="0" y="0"/>
                      <a:ext cx="3238500" cy="2428875"/>
                    </a:xfrm>
                    <a:prstGeom prst="rect">
                      <a:avLst/>
                    </a:prstGeom>
                    <a:noFill/>
                    <a:ln>
                      <a:noFill/>
                    </a:ln>
                  </pic:spPr>
                </pic:pic>
              </a:graphicData>
            </a:graphic>
          </wp:inline>
        </w:drawing>
      </w:r>
    </w:p>
    <w:p>
      <w:pPr>
        <w:pStyle w:val="54"/>
        <w:keepNext/>
        <w:keepLines/>
        <w:widowControl/>
        <w:numPr>
          <w:ilvl w:val="0"/>
          <w:numId w:val="0"/>
        </w:numPr>
        <w:pBdr>
          <w:top w:val="none" w:color="auto" w:sz="0" w:space="0"/>
          <w:left w:val="none" w:color="auto" w:sz="0" w:space="0"/>
          <w:bottom w:val="none" w:color="auto" w:sz="0" w:space="0"/>
          <w:right w:val="none" w:color="auto" w:sz="0" w:space="0"/>
          <w:between w:val="none" w:color="auto" w:sz="0" w:space="0"/>
        </w:pBdr>
        <w:tabs>
          <w:tab w:val="left" w:pos="567"/>
          <w:tab w:val="clear" w:pos="1985"/>
        </w:tabs>
        <w:adjustRightInd w:val="0"/>
        <w:spacing w:before="240" w:after="180"/>
        <w:jc w:val="center"/>
        <w:outlineLvl w:val="9"/>
        <w:rPr>
          <w:highlight w:val="none"/>
        </w:rPr>
      </w:pPr>
      <w:r>
        <w:rPr>
          <w:rFonts w:hint="eastAsia" w:ascii="Times New Roman" w:hAnsi="Times New Roman"/>
          <w:kern w:val="2"/>
          <w:sz w:val="21"/>
          <w:szCs w:val="22"/>
          <w:highlight w:val="none"/>
          <w:lang w:val="en-US" w:eastAsia="zh-CN"/>
        </w:rPr>
        <w:t>Figure 14a simulation results for Case 7</w:t>
      </w:r>
    </w:p>
    <w:p>
      <w:pPr>
        <w:pStyle w:val="40"/>
        <w:pBdr>
          <w:top w:val="none" w:color="auto" w:sz="0" w:space="0"/>
          <w:left w:val="none" w:color="auto" w:sz="0" w:space="0"/>
          <w:bottom w:val="none" w:color="auto" w:sz="0" w:space="0"/>
          <w:right w:val="none" w:color="auto" w:sz="0" w:space="0"/>
          <w:between w:val="none" w:color="auto" w:sz="0" w:space="0"/>
        </w:pBdr>
        <w:jc w:val="center"/>
        <w:rPr>
          <w:rFonts w:hint="eastAsia"/>
          <w:highlight w:val="none"/>
          <w:lang w:val="en-US" w:eastAsia="zh-CN"/>
        </w:rPr>
      </w:pPr>
      <w:r>
        <w:rPr>
          <w:highlight w:val="none"/>
        </w:rPr>
        <w:drawing>
          <wp:inline distT="0" distB="0" distL="114300" distR="114300">
            <wp:extent cx="3238500" cy="2428875"/>
            <wp:effectExtent l="0" t="0" r="0" b="9525"/>
            <wp:docPr id="6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5"/>
                    <pic:cNvPicPr>
                      <a:picLocks noChangeAspect="1"/>
                    </pic:cNvPicPr>
                  </pic:nvPicPr>
                  <pic:blipFill>
                    <a:blip r:embed="rId24"/>
                    <a:stretch>
                      <a:fillRect/>
                    </a:stretch>
                  </pic:blipFill>
                  <pic:spPr>
                    <a:xfrm>
                      <a:off x="0" y="0"/>
                      <a:ext cx="3238500" cy="2428875"/>
                    </a:xfrm>
                    <a:prstGeom prst="rect">
                      <a:avLst/>
                    </a:prstGeom>
                    <a:noFill/>
                    <a:ln>
                      <a:noFill/>
                    </a:ln>
                  </pic:spPr>
                </pic:pic>
              </a:graphicData>
            </a:graphic>
          </wp:inline>
        </w:drawing>
      </w:r>
    </w:p>
    <w:p>
      <w:pPr>
        <w:pStyle w:val="54"/>
        <w:keepNext/>
        <w:keepLines/>
        <w:numPr>
          <w:ilvl w:val="0"/>
          <w:numId w:val="0"/>
        </w:numPr>
        <w:pBdr>
          <w:top w:val="none" w:color="auto" w:sz="0" w:space="0"/>
          <w:left w:val="none" w:color="auto" w:sz="0" w:space="0"/>
          <w:bottom w:val="none" w:color="auto" w:sz="0" w:space="0"/>
          <w:right w:val="none" w:color="auto" w:sz="0" w:space="0"/>
          <w:between w:val="none" w:color="auto" w:sz="0" w:space="0"/>
        </w:pBdr>
        <w:tabs>
          <w:tab w:val="left" w:pos="567"/>
          <w:tab w:val="clear" w:pos="1985"/>
        </w:tabs>
        <w:adjustRightInd w:val="0"/>
        <w:spacing w:before="240" w:after="180"/>
        <w:jc w:val="center"/>
        <w:outlineLvl w:val="9"/>
        <w:rPr>
          <w:rFonts w:hint="eastAsia" w:ascii="Times New Roman" w:hAnsi="Times New Roman"/>
          <w:kern w:val="2"/>
          <w:sz w:val="21"/>
          <w:szCs w:val="22"/>
          <w:highlight w:val="none"/>
          <w:lang w:val="en-US" w:eastAsia="zh-CN"/>
        </w:rPr>
      </w:pPr>
      <w:r>
        <w:rPr>
          <w:rFonts w:hint="eastAsia" w:ascii="Times New Roman" w:hAnsi="Times New Roman"/>
          <w:kern w:val="2"/>
          <w:sz w:val="21"/>
          <w:szCs w:val="22"/>
          <w:highlight w:val="none"/>
          <w:lang w:val="en-US" w:eastAsia="zh-CN"/>
        </w:rPr>
        <w:t>Figure 14b simulation results for Case 7</w:t>
      </w:r>
    </w:p>
    <w:p>
      <w:pPr>
        <w:widowControl w:val="0"/>
        <w:pBdr>
          <w:top w:val="none" w:color="auto" w:sz="0" w:space="0"/>
          <w:left w:val="none" w:color="auto" w:sz="0" w:space="0"/>
          <w:bottom w:val="none" w:color="auto" w:sz="0" w:space="0"/>
          <w:right w:val="none" w:color="auto" w:sz="0" w:space="0"/>
          <w:between w:val="none" w:color="auto" w:sz="0" w:space="0"/>
        </w:pBdr>
        <w:spacing w:before="0" w:after="100" w:afterAutospacing="1" w:line="240" w:lineRule="auto"/>
        <w:outlineLvl w:val="2"/>
        <w:rPr>
          <w:rStyle w:val="27"/>
          <w:rFonts w:hint="default" w:ascii="Times New Roman" w:hAnsi="Times New Roman" w:cs="Times New Roman"/>
          <w:color w:val="auto"/>
          <w:sz w:val="21"/>
          <w:szCs w:val="21"/>
          <w:highlight w:val="none"/>
          <w:shd w:val="clear" w:color="auto" w:fill="FFFFFF"/>
          <w:lang w:val="en-US" w:eastAsia="zh-CN"/>
        </w:rPr>
      </w:pPr>
      <w:r>
        <w:rPr>
          <w:rFonts w:hint="default" w:ascii="Arial" w:hAnsi="Arial" w:cs="Arial"/>
          <w:sz w:val="24"/>
          <w:szCs w:val="24"/>
          <w:highlight w:val="none"/>
          <w:lang w:val="en-US" w:eastAsia="zh-CN"/>
        </w:rPr>
        <w:t>2.</w:t>
      </w:r>
      <w:r>
        <w:rPr>
          <w:rFonts w:hint="eastAsia" w:ascii="Arial" w:hAnsi="Arial" w:cs="Arial"/>
          <w:sz w:val="24"/>
          <w:szCs w:val="24"/>
          <w:highlight w:val="none"/>
          <w:lang w:val="en-US" w:eastAsia="zh-CN"/>
        </w:rPr>
        <w:t>2</w:t>
      </w:r>
      <w:r>
        <w:rPr>
          <w:rFonts w:hint="default" w:ascii="Arial" w:hAnsi="Arial" w:cs="Arial"/>
          <w:sz w:val="24"/>
          <w:szCs w:val="24"/>
          <w:highlight w:val="none"/>
          <w:lang w:val="en-US" w:eastAsia="zh-CN"/>
        </w:rPr>
        <w:t>.</w:t>
      </w:r>
      <w:r>
        <w:rPr>
          <w:rFonts w:hint="eastAsia" w:ascii="Arial" w:hAnsi="Arial" w:cs="Arial"/>
          <w:sz w:val="24"/>
          <w:szCs w:val="24"/>
          <w:highlight w:val="none"/>
          <w:lang w:val="en-US" w:eastAsia="zh-CN"/>
        </w:rPr>
        <w:t>4</w:t>
      </w:r>
      <w:r>
        <w:rPr>
          <w:rFonts w:hint="default" w:ascii="Arial" w:hAnsi="Arial" w:cs="Arial"/>
          <w:sz w:val="24"/>
          <w:szCs w:val="24"/>
          <w:highlight w:val="none"/>
          <w:lang w:val="en-US" w:eastAsia="zh-CN"/>
        </w:rPr>
        <w:t xml:space="preserve"> </w:t>
      </w:r>
      <w:r>
        <w:rPr>
          <w:rFonts w:hint="eastAsia" w:ascii="Arial" w:hAnsi="Arial" w:cs="Arial"/>
          <w:sz w:val="24"/>
          <w:szCs w:val="24"/>
          <w:highlight w:val="none"/>
          <w:lang w:val="en-US" w:eastAsia="zh-CN"/>
        </w:rPr>
        <w:t>Case 8</w:t>
      </w:r>
    </w:p>
    <w:p>
      <w:pPr>
        <w:pStyle w:val="54"/>
        <w:keepNext/>
        <w:keepLines/>
        <w:numPr>
          <w:ilvl w:val="0"/>
          <w:numId w:val="0"/>
        </w:numPr>
        <w:pBdr>
          <w:top w:val="none" w:color="auto" w:sz="0" w:space="0"/>
          <w:left w:val="none" w:color="auto" w:sz="0" w:space="0"/>
          <w:bottom w:val="none" w:color="auto" w:sz="0" w:space="0"/>
          <w:right w:val="none" w:color="auto" w:sz="0" w:space="0"/>
          <w:between w:val="none" w:color="auto" w:sz="0" w:space="0"/>
        </w:pBdr>
        <w:tabs>
          <w:tab w:val="left" w:pos="567"/>
          <w:tab w:val="clear" w:pos="1985"/>
        </w:tabs>
        <w:adjustRightInd w:val="0"/>
        <w:spacing w:before="240" w:after="180"/>
        <w:jc w:val="center"/>
        <w:outlineLvl w:val="9"/>
        <w:rPr>
          <w:rFonts w:hint="eastAsia" w:ascii="Times New Roman" w:hAnsi="Times New Roman"/>
          <w:kern w:val="2"/>
          <w:sz w:val="21"/>
          <w:szCs w:val="22"/>
          <w:highlight w:val="none"/>
          <w:lang w:val="en-US" w:eastAsia="zh-CN"/>
        </w:rPr>
      </w:pPr>
    </w:p>
    <w:p>
      <w:pPr>
        <w:pStyle w:val="19"/>
        <w:pBdr>
          <w:top w:val="none" w:color="auto" w:sz="0" w:space="0"/>
          <w:left w:val="none" w:color="auto" w:sz="0" w:space="0"/>
          <w:bottom w:val="none" w:color="auto" w:sz="0" w:space="0"/>
          <w:right w:val="none" w:color="auto" w:sz="0" w:space="0"/>
          <w:between w:val="none" w:color="auto" w:sz="0" w:space="0"/>
        </w:pBdr>
        <w:shd w:val="clear" w:color="auto" w:fill="FFFFFF"/>
        <w:spacing w:before="60" w:beforeAutospacing="0" w:after="0" w:afterAutospacing="0" w:line="300" w:lineRule="atLeast"/>
        <w:jc w:val="left"/>
        <w:rPr>
          <w:highlight w:val="none"/>
        </w:rPr>
      </w:pPr>
      <w:r>
        <w:rPr>
          <w:rStyle w:val="27"/>
          <w:rFonts w:hint="eastAsia" w:ascii="Times New Roman" w:hAnsi="Times New Roman" w:cs="Times New Roman"/>
          <w:color w:val="auto"/>
          <w:sz w:val="21"/>
          <w:szCs w:val="21"/>
          <w:highlight w:val="none"/>
          <w:shd w:val="clear" w:color="auto" w:fill="FFFFFF"/>
          <w:lang w:val="en-US" w:eastAsia="zh-CN"/>
        </w:rPr>
        <w:t>In the following figure 15a and 15b, TN UL interfering ATG DL, the interference are quite limited due to far distance between TN UEs and ATG CPE.</w:t>
      </w:r>
    </w:p>
    <w:p>
      <w:pPr>
        <w:pStyle w:val="19"/>
        <w:pBdr>
          <w:top w:val="none" w:color="auto" w:sz="0" w:space="0"/>
          <w:left w:val="none" w:color="auto" w:sz="0" w:space="0"/>
          <w:bottom w:val="none" w:color="auto" w:sz="0" w:space="0"/>
          <w:right w:val="none" w:color="auto" w:sz="0" w:space="0"/>
          <w:between w:val="none" w:color="auto" w:sz="0" w:space="0"/>
        </w:pBdr>
        <w:shd w:val="clear" w:color="auto" w:fill="FFFFFF"/>
        <w:spacing w:before="60" w:beforeAutospacing="0" w:after="0" w:afterAutospacing="0" w:line="300" w:lineRule="atLeast"/>
        <w:jc w:val="center"/>
        <w:rPr>
          <w:highlight w:val="none"/>
        </w:rPr>
      </w:pPr>
      <w:r>
        <w:rPr>
          <w:highlight w:val="none"/>
        </w:rPr>
        <w:drawing>
          <wp:inline distT="0" distB="0" distL="114300" distR="114300">
            <wp:extent cx="3238500" cy="2428875"/>
            <wp:effectExtent l="0" t="0" r="0" b="9525"/>
            <wp:docPr id="57"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14"/>
                    <pic:cNvPicPr>
                      <a:picLocks noChangeAspect="1"/>
                    </pic:cNvPicPr>
                  </pic:nvPicPr>
                  <pic:blipFill>
                    <a:blip r:embed="rId25"/>
                    <a:stretch>
                      <a:fillRect/>
                    </a:stretch>
                  </pic:blipFill>
                  <pic:spPr>
                    <a:xfrm>
                      <a:off x="0" y="0"/>
                      <a:ext cx="3238500" cy="2428875"/>
                    </a:xfrm>
                    <a:prstGeom prst="rect">
                      <a:avLst/>
                    </a:prstGeom>
                    <a:noFill/>
                    <a:ln>
                      <a:noFill/>
                    </a:ln>
                  </pic:spPr>
                </pic:pic>
              </a:graphicData>
            </a:graphic>
          </wp:inline>
        </w:drawing>
      </w:r>
    </w:p>
    <w:p>
      <w:pPr>
        <w:pStyle w:val="54"/>
        <w:keepNext/>
        <w:keepLines/>
        <w:widowControl/>
        <w:numPr>
          <w:ilvl w:val="0"/>
          <w:numId w:val="0"/>
        </w:numPr>
        <w:pBdr>
          <w:top w:val="none" w:color="auto" w:sz="0" w:space="0"/>
          <w:left w:val="none" w:color="auto" w:sz="0" w:space="0"/>
          <w:bottom w:val="none" w:color="auto" w:sz="0" w:space="0"/>
          <w:right w:val="none" w:color="auto" w:sz="0" w:space="0"/>
          <w:between w:val="none" w:color="auto" w:sz="0" w:space="0"/>
        </w:pBdr>
        <w:tabs>
          <w:tab w:val="left" w:pos="567"/>
          <w:tab w:val="clear" w:pos="1985"/>
        </w:tabs>
        <w:adjustRightInd w:val="0"/>
        <w:spacing w:before="240" w:after="180"/>
        <w:jc w:val="center"/>
        <w:outlineLvl w:val="9"/>
        <w:rPr>
          <w:rFonts w:hint="default" w:ascii="Times New Roman" w:hAnsi="Times New Roman"/>
          <w:kern w:val="2"/>
          <w:sz w:val="21"/>
          <w:szCs w:val="22"/>
          <w:highlight w:val="none"/>
          <w:lang w:val="en-US" w:eastAsia="zh-CN"/>
        </w:rPr>
      </w:pPr>
      <w:r>
        <w:rPr>
          <w:rFonts w:hint="eastAsia" w:ascii="Times New Roman" w:hAnsi="Times New Roman"/>
          <w:kern w:val="2"/>
          <w:sz w:val="21"/>
          <w:szCs w:val="22"/>
          <w:highlight w:val="none"/>
          <w:lang w:val="en-US" w:eastAsia="zh-CN"/>
        </w:rPr>
        <w:t>Figure 15a. simulation results for Case 8 [should be ATG DL]</w:t>
      </w:r>
    </w:p>
    <w:p>
      <w:pPr>
        <w:pStyle w:val="19"/>
        <w:pBdr>
          <w:top w:val="none" w:color="auto" w:sz="0" w:space="0"/>
          <w:left w:val="none" w:color="auto" w:sz="0" w:space="0"/>
          <w:bottom w:val="none" w:color="auto" w:sz="0" w:space="0"/>
          <w:right w:val="none" w:color="auto" w:sz="0" w:space="0"/>
          <w:between w:val="none" w:color="auto" w:sz="0" w:space="0"/>
        </w:pBdr>
        <w:shd w:val="clear" w:color="auto" w:fill="FFFFFF"/>
        <w:spacing w:before="60" w:beforeAutospacing="0" w:after="0" w:afterAutospacing="0" w:line="300" w:lineRule="atLeast"/>
        <w:jc w:val="center"/>
        <w:rPr>
          <w:highlight w:val="none"/>
        </w:rPr>
      </w:pPr>
    </w:p>
    <w:p>
      <w:pPr>
        <w:pStyle w:val="19"/>
        <w:pBdr>
          <w:top w:val="none" w:color="auto" w:sz="0" w:space="0"/>
          <w:left w:val="none" w:color="auto" w:sz="0" w:space="0"/>
          <w:bottom w:val="none" w:color="auto" w:sz="0" w:space="0"/>
          <w:right w:val="none" w:color="auto" w:sz="0" w:space="0"/>
          <w:between w:val="none" w:color="auto" w:sz="0" w:space="0"/>
        </w:pBdr>
        <w:shd w:val="clear" w:color="auto" w:fill="FFFFFF"/>
        <w:spacing w:before="60" w:beforeAutospacing="0" w:after="0" w:afterAutospacing="0" w:line="300" w:lineRule="atLeast"/>
        <w:jc w:val="center"/>
        <w:rPr>
          <w:highlight w:val="none"/>
        </w:rPr>
      </w:pPr>
      <w:r>
        <w:rPr>
          <w:highlight w:val="none"/>
        </w:rPr>
        <w:drawing>
          <wp:inline distT="0" distB="0" distL="114300" distR="114300">
            <wp:extent cx="3238500" cy="2428875"/>
            <wp:effectExtent l="0" t="0" r="0" b="9525"/>
            <wp:docPr id="5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15"/>
                    <pic:cNvPicPr>
                      <a:picLocks noChangeAspect="1"/>
                    </pic:cNvPicPr>
                  </pic:nvPicPr>
                  <pic:blipFill>
                    <a:blip r:embed="rId26"/>
                    <a:stretch>
                      <a:fillRect/>
                    </a:stretch>
                  </pic:blipFill>
                  <pic:spPr>
                    <a:xfrm>
                      <a:off x="0" y="0"/>
                      <a:ext cx="3238500" cy="2428875"/>
                    </a:xfrm>
                    <a:prstGeom prst="rect">
                      <a:avLst/>
                    </a:prstGeom>
                    <a:noFill/>
                    <a:ln>
                      <a:noFill/>
                    </a:ln>
                  </pic:spPr>
                </pic:pic>
              </a:graphicData>
            </a:graphic>
          </wp:inline>
        </w:drawing>
      </w:r>
    </w:p>
    <w:p>
      <w:pPr>
        <w:pStyle w:val="54"/>
        <w:keepNext/>
        <w:keepLines/>
        <w:widowControl/>
        <w:numPr>
          <w:ilvl w:val="0"/>
          <w:numId w:val="0"/>
        </w:numPr>
        <w:pBdr>
          <w:top w:val="none" w:color="auto" w:sz="0" w:space="0"/>
          <w:left w:val="none" w:color="auto" w:sz="0" w:space="0"/>
          <w:bottom w:val="none" w:color="auto" w:sz="0" w:space="0"/>
          <w:right w:val="none" w:color="auto" w:sz="0" w:space="0"/>
          <w:between w:val="none" w:color="auto" w:sz="0" w:space="0"/>
        </w:pBdr>
        <w:tabs>
          <w:tab w:val="left" w:pos="567"/>
          <w:tab w:val="clear" w:pos="1985"/>
        </w:tabs>
        <w:adjustRightInd w:val="0"/>
        <w:spacing w:before="240" w:after="180"/>
        <w:jc w:val="center"/>
        <w:outlineLvl w:val="9"/>
        <w:rPr>
          <w:rFonts w:hint="eastAsia" w:ascii="Times New Roman" w:hAnsi="Times New Roman"/>
          <w:kern w:val="2"/>
          <w:sz w:val="21"/>
          <w:szCs w:val="22"/>
          <w:highlight w:val="none"/>
          <w:lang w:val="en-US" w:eastAsia="zh-CN"/>
        </w:rPr>
      </w:pPr>
      <w:r>
        <w:rPr>
          <w:rFonts w:hint="eastAsia" w:ascii="Times New Roman" w:hAnsi="Times New Roman"/>
          <w:kern w:val="2"/>
          <w:sz w:val="21"/>
          <w:szCs w:val="22"/>
          <w:highlight w:val="none"/>
          <w:lang w:val="en-US" w:eastAsia="zh-CN"/>
        </w:rPr>
        <w:t>Figure 15b. simulation results for Case 8 [should be ATG DL]</w:t>
      </w:r>
    </w:p>
    <w:p>
      <w:pPr>
        <w:keepNext/>
        <w:keepLines/>
        <w:widowControl w:val="0"/>
        <w:numPr>
          <w:ilvl w:val="0"/>
          <w:numId w:val="0"/>
        </w:numPr>
        <w:pBdr>
          <w:top w:val="none" w:color="auto" w:sz="0" w:space="0"/>
          <w:left w:val="none" w:color="auto" w:sz="0" w:space="0"/>
          <w:bottom w:val="none" w:color="auto" w:sz="0" w:space="0"/>
          <w:right w:val="none" w:color="auto" w:sz="0" w:space="0"/>
          <w:between w:val="none" w:color="auto" w:sz="0" w:space="0"/>
        </w:pBdr>
        <w:tabs>
          <w:tab w:val="left" w:pos="567"/>
        </w:tabs>
        <w:adjustRightInd w:val="0"/>
        <w:spacing w:before="0" w:after="100" w:afterAutospacing="1"/>
        <w:outlineLvl w:val="2"/>
        <w:rPr>
          <w:rStyle w:val="27"/>
          <w:rFonts w:hint="eastAsia" w:ascii="Times New Roman" w:hAnsi="Times New Roman" w:cs="Times New Roman"/>
          <w:color w:val="auto"/>
          <w:sz w:val="21"/>
          <w:szCs w:val="21"/>
          <w:highlight w:val="none"/>
          <w:shd w:val="clear" w:color="auto" w:fill="FFFFFF"/>
          <w:lang w:val="en-US" w:eastAsia="zh-CN"/>
        </w:rPr>
      </w:pPr>
      <w:r>
        <w:rPr>
          <w:rFonts w:hint="default" w:ascii="Arial" w:hAnsi="Arial" w:cs="Arial"/>
          <w:sz w:val="24"/>
          <w:szCs w:val="24"/>
          <w:highlight w:val="none"/>
          <w:lang w:val="en-US" w:eastAsia="zh-CN"/>
        </w:rPr>
        <w:t>2.</w:t>
      </w:r>
      <w:r>
        <w:rPr>
          <w:rFonts w:hint="eastAsia" w:ascii="Arial" w:hAnsi="Arial" w:cs="Arial"/>
          <w:sz w:val="24"/>
          <w:szCs w:val="24"/>
          <w:highlight w:val="none"/>
          <w:lang w:val="en-US" w:eastAsia="zh-CN"/>
        </w:rPr>
        <w:t>2</w:t>
      </w:r>
      <w:r>
        <w:rPr>
          <w:rFonts w:hint="default" w:ascii="Arial" w:hAnsi="Arial" w:cs="Arial"/>
          <w:sz w:val="24"/>
          <w:szCs w:val="24"/>
          <w:highlight w:val="none"/>
          <w:lang w:val="en-US" w:eastAsia="zh-CN"/>
        </w:rPr>
        <w:t>.</w:t>
      </w:r>
      <w:r>
        <w:rPr>
          <w:rFonts w:hint="eastAsia" w:ascii="Arial" w:hAnsi="Arial" w:cs="Arial"/>
          <w:sz w:val="24"/>
          <w:szCs w:val="24"/>
          <w:highlight w:val="none"/>
          <w:lang w:val="en-US" w:eastAsia="zh-CN"/>
        </w:rPr>
        <w:t>6</w:t>
      </w:r>
      <w:r>
        <w:rPr>
          <w:rFonts w:hint="default" w:ascii="Arial" w:hAnsi="Arial" w:cs="Arial"/>
          <w:sz w:val="24"/>
          <w:szCs w:val="24"/>
          <w:highlight w:val="none"/>
          <w:lang w:val="en-US" w:eastAsia="zh-CN"/>
        </w:rPr>
        <w:t xml:space="preserve"> </w:t>
      </w:r>
      <w:r>
        <w:rPr>
          <w:rFonts w:hint="eastAsia" w:ascii="Arial" w:hAnsi="Arial" w:cs="Arial"/>
          <w:sz w:val="24"/>
          <w:szCs w:val="24"/>
          <w:highlight w:val="none"/>
          <w:lang w:val="en-US" w:eastAsia="zh-CN"/>
        </w:rPr>
        <w:t>Case 13</w:t>
      </w:r>
    </w:p>
    <w:p>
      <w:pPr>
        <w:pStyle w:val="19"/>
        <w:pBdr>
          <w:top w:val="none" w:color="auto" w:sz="0" w:space="0"/>
          <w:left w:val="none" w:color="auto" w:sz="0" w:space="0"/>
          <w:bottom w:val="none" w:color="auto" w:sz="0" w:space="0"/>
          <w:right w:val="none" w:color="auto" w:sz="0" w:space="0"/>
          <w:between w:val="none" w:color="auto" w:sz="0" w:space="0"/>
        </w:pBdr>
        <w:shd w:val="clear" w:color="auto" w:fill="FFFFFF"/>
        <w:spacing w:before="60" w:beforeAutospacing="0" w:after="0" w:afterAutospacing="0" w:line="300" w:lineRule="atLeast"/>
        <w:jc w:val="left"/>
        <w:rPr>
          <w:highlight w:val="none"/>
        </w:rPr>
      </w:pPr>
      <w:r>
        <w:rPr>
          <w:rStyle w:val="27"/>
          <w:rFonts w:hint="eastAsia" w:ascii="Times New Roman" w:hAnsi="Times New Roman" w:cs="Times New Roman"/>
          <w:color w:val="auto"/>
          <w:sz w:val="21"/>
          <w:szCs w:val="21"/>
          <w:highlight w:val="none"/>
          <w:shd w:val="clear" w:color="auto" w:fill="FFFFFF"/>
          <w:lang w:val="en-US" w:eastAsia="zh-CN"/>
        </w:rPr>
        <w:t>In the following figure 16a and 16b, ATG UL interfering TN DL, the interference are quite limited due to far distance between TN UEs and ATG CPE.</w:t>
      </w:r>
    </w:p>
    <w:p>
      <w:pPr>
        <w:pStyle w:val="19"/>
        <w:pBdr>
          <w:top w:val="none" w:color="auto" w:sz="0" w:space="0"/>
          <w:left w:val="none" w:color="auto" w:sz="0" w:space="0"/>
          <w:bottom w:val="none" w:color="auto" w:sz="0" w:space="0"/>
          <w:right w:val="none" w:color="auto" w:sz="0" w:space="0"/>
          <w:between w:val="none" w:color="auto" w:sz="0" w:space="0"/>
        </w:pBdr>
        <w:shd w:val="clear" w:color="auto" w:fill="FFFFFF"/>
        <w:spacing w:before="60" w:beforeAutospacing="0" w:after="0" w:afterAutospacing="0" w:line="300" w:lineRule="atLeast"/>
        <w:rPr>
          <w:highlight w:val="none"/>
        </w:rPr>
      </w:pPr>
    </w:p>
    <w:p>
      <w:pPr>
        <w:pStyle w:val="19"/>
        <w:pBdr>
          <w:top w:val="none" w:color="auto" w:sz="0" w:space="0"/>
          <w:left w:val="none" w:color="auto" w:sz="0" w:space="0"/>
          <w:bottom w:val="none" w:color="auto" w:sz="0" w:space="0"/>
          <w:right w:val="none" w:color="auto" w:sz="0" w:space="0"/>
          <w:between w:val="none" w:color="auto" w:sz="0" w:space="0"/>
        </w:pBdr>
        <w:shd w:val="clear" w:color="auto" w:fill="FFFFFF"/>
        <w:spacing w:before="60" w:beforeAutospacing="0" w:after="0" w:afterAutospacing="0" w:line="300" w:lineRule="atLeast"/>
        <w:jc w:val="center"/>
        <w:rPr>
          <w:highlight w:val="none"/>
        </w:rPr>
      </w:pPr>
      <w:r>
        <w:rPr>
          <w:highlight w:val="none"/>
        </w:rPr>
        <w:drawing>
          <wp:inline distT="0" distB="0" distL="114300" distR="114300">
            <wp:extent cx="3238500" cy="2428875"/>
            <wp:effectExtent l="0" t="0" r="0" b="9525"/>
            <wp:docPr id="6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7"/>
                    <pic:cNvPicPr>
                      <a:picLocks noChangeAspect="1"/>
                    </pic:cNvPicPr>
                  </pic:nvPicPr>
                  <pic:blipFill>
                    <a:blip r:embed="rId27"/>
                    <a:stretch>
                      <a:fillRect/>
                    </a:stretch>
                  </pic:blipFill>
                  <pic:spPr>
                    <a:xfrm>
                      <a:off x="0" y="0"/>
                      <a:ext cx="3238500" cy="2428875"/>
                    </a:xfrm>
                    <a:prstGeom prst="rect">
                      <a:avLst/>
                    </a:prstGeom>
                    <a:noFill/>
                    <a:ln>
                      <a:noFill/>
                    </a:ln>
                  </pic:spPr>
                </pic:pic>
              </a:graphicData>
            </a:graphic>
          </wp:inline>
        </w:drawing>
      </w:r>
    </w:p>
    <w:p>
      <w:pPr>
        <w:pStyle w:val="54"/>
        <w:keepNext/>
        <w:keepLines/>
        <w:widowControl/>
        <w:numPr>
          <w:ilvl w:val="0"/>
          <w:numId w:val="0"/>
        </w:numPr>
        <w:pBdr>
          <w:top w:val="none" w:color="auto" w:sz="0" w:space="0"/>
          <w:left w:val="none" w:color="auto" w:sz="0" w:space="0"/>
          <w:bottom w:val="none" w:color="auto" w:sz="0" w:space="0"/>
          <w:right w:val="none" w:color="auto" w:sz="0" w:space="0"/>
          <w:between w:val="none" w:color="auto" w:sz="0" w:space="0"/>
        </w:pBdr>
        <w:tabs>
          <w:tab w:val="left" w:pos="567"/>
          <w:tab w:val="clear" w:pos="1985"/>
        </w:tabs>
        <w:adjustRightInd w:val="0"/>
        <w:spacing w:before="240" w:after="180"/>
        <w:jc w:val="center"/>
        <w:outlineLvl w:val="9"/>
        <w:rPr>
          <w:rFonts w:hint="default" w:ascii="Times New Roman" w:hAnsi="Times New Roman"/>
          <w:kern w:val="2"/>
          <w:sz w:val="21"/>
          <w:szCs w:val="22"/>
          <w:highlight w:val="none"/>
          <w:lang w:val="en-US" w:eastAsia="zh-CN"/>
        </w:rPr>
      </w:pPr>
      <w:r>
        <w:rPr>
          <w:rFonts w:hint="eastAsia" w:ascii="Times New Roman" w:hAnsi="Times New Roman"/>
          <w:kern w:val="2"/>
          <w:sz w:val="21"/>
          <w:szCs w:val="22"/>
          <w:highlight w:val="none"/>
          <w:lang w:val="en-US" w:eastAsia="zh-CN"/>
        </w:rPr>
        <w:t>Figure 16a simulation results for Case 13 [non-colocated]</w:t>
      </w:r>
    </w:p>
    <w:p>
      <w:pPr>
        <w:pStyle w:val="19"/>
        <w:pBdr>
          <w:top w:val="none" w:color="auto" w:sz="0" w:space="0"/>
          <w:left w:val="none" w:color="auto" w:sz="0" w:space="0"/>
          <w:bottom w:val="none" w:color="auto" w:sz="0" w:space="0"/>
          <w:right w:val="none" w:color="auto" w:sz="0" w:space="0"/>
          <w:between w:val="none" w:color="auto" w:sz="0" w:space="0"/>
        </w:pBdr>
        <w:shd w:val="clear" w:color="auto" w:fill="FFFFFF"/>
        <w:spacing w:before="60" w:beforeAutospacing="0" w:after="0" w:afterAutospacing="0" w:line="300" w:lineRule="atLeast"/>
        <w:rPr>
          <w:highlight w:val="none"/>
        </w:rPr>
      </w:pPr>
    </w:p>
    <w:p>
      <w:pPr>
        <w:pStyle w:val="19"/>
        <w:pBdr>
          <w:top w:val="none" w:color="auto" w:sz="0" w:space="0"/>
          <w:left w:val="none" w:color="auto" w:sz="0" w:space="0"/>
          <w:bottom w:val="none" w:color="auto" w:sz="0" w:space="0"/>
          <w:right w:val="none" w:color="auto" w:sz="0" w:space="0"/>
          <w:between w:val="none" w:color="auto" w:sz="0" w:space="0"/>
        </w:pBdr>
        <w:shd w:val="clear" w:color="auto" w:fill="FFFFFF"/>
        <w:spacing w:before="60" w:beforeAutospacing="0" w:after="0" w:afterAutospacing="0" w:line="300" w:lineRule="atLeast"/>
        <w:jc w:val="center"/>
        <w:rPr>
          <w:highlight w:val="none"/>
        </w:rPr>
      </w:pPr>
      <w:r>
        <w:rPr>
          <w:highlight w:val="none"/>
        </w:rPr>
        <w:drawing>
          <wp:inline distT="0" distB="0" distL="114300" distR="114300">
            <wp:extent cx="3238500" cy="2428875"/>
            <wp:effectExtent l="0" t="0" r="0" b="9525"/>
            <wp:docPr id="6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
                    <pic:cNvPicPr>
                      <a:picLocks noChangeAspect="1"/>
                    </pic:cNvPicPr>
                  </pic:nvPicPr>
                  <pic:blipFill>
                    <a:blip r:embed="rId28"/>
                    <a:stretch>
                      <a:fillRect/>
                    </a:stretch>
                  </pic:blipFill>
                  <pic:spPr>
                    <a:xfrm>
                      <a:off x="0" y="0"/>
                      <a:ext cx="3238500" cy="2428875"/>
                    </a:xfrm>
                    <a:prstGeom prst="rect">
                      <a:avLst/>
                    </a:prstGeom>
                    <a:noFill/>
                    <a:ln>
                      <a:noFill/>
                    </a:ln>
                  </pic:spPr>
                </pic:pic>
              </a:graphicData>
            </a:graphic>
          </wp:inline>
        </w:drawing>
      </w:r>
    </w:p>
    <w:p>
      <w:pPr>
        <w:pStyle w:val="54"/>
        <w:keepNext/>
        <w:keepLines/>
        <w:widowControl/>
        <w:numPr>
          <w:ilvl w:val="0"/>
          <w:numId w:val="0"/>
        </w:numPr>
        <w:pBdr>
          <w:top w:val="none" w:color="auto" w:sz="0" w:space="0"/>
          <w:left w:val="none" w:color="auto" w:sz="0" w:space="0"/>
          <w:bottom w:val="none" w:color="auto" w:sz="0" w:space="0"/>
          <w:right w:val="none" w:color="auto" w:sz="0" w:space="0"/>
          <w:between w:val="none" w:color="auto" w:sz="0" w:space="0"/>
        </w:pBdr>
        <w:tabs>
          <w:tab w:val="left" w:pos="567"/>
          <w:tab w:val="clear" w:pos="1985"/>
        </w:tabs>
        <w:adjustRightInd w:val="0"/>
        <w:spacing w:before="240" w:after="180"/>
        <w:jc w:val="center"/>
        <w:outlineLvl w:val="9"/>
        <w:rPr>
          <w:rFonts w:hint="default" w:ascii="Times New Roman" w:hAnsi="Times New Roman"/>
          <w:kern w:val="2"/>
          <w:sz w:val="21"/>
          <w:szCs w:val="22"/>
          <w:highlight w:val="none"/>
          <w:lang w:val="en-US" w:eastAsia="zh-CN"/>
        </w:rPr>
      </w:pPr>
      <w:r>
        <w:rPr>
          <w:rFonts w:hint="eastAsia" w:ascii="Times New Roman" w:hAnsi="Times New Roman"/>
          <w:kern w:val="2"/>
          <w:sz w:val="21"/>
          <w:szCs w:val="22"/>
          <w:highlight w:val="none"/>
          <w:lang w:val="en-US" w:eastAsia="zh-CN"/>
        </w:rPr>
        <w:t>Figure 16b simulation results for Case 13 [colocated]</w:t>
      </w:r>
    </w:p>
    <w:p>
      <w:pPr>
        <w:keepNext/>
        <w:keepLines/>
        <w:widowControl w:val="0"/>
        <w:numPr>
          <w:ilvl w:val="0"/>
          <w:numId w:val="0"/>
        </w:numPr>
        <w:pBdr>
          <w:top w:val="none" w:color="auto" w:sz="0" w:space="0"/>
          <w:left w:val="none" w:color="auto" w:sz="0" w:space="0"/>
          <w:bottom w:val="none" w:color="auto" w:sz="0" w:space="0"/>
          <w:right w:val="none" w:color="auto" w:sz="0" w:space="0"/>
          <w:between w:val="none" w:color="auto" w:sz="0" w:space="0"/>
        </w:pBdr>
        <w:tabs>
          <w:tab w:val="left" w:pos="567"/>
        </w:tabs>
        <w:adjustRightInd w:val="0"/>
        <w:spacing w:before="0" w:after="100" w:afterAutospacing="1"/>
        <w:outlineLvl w:val="2"/>
        <w:rPr>
          <w:rStyle w:val="27"/>
          <w:rFonts w:hint="eastAsia" w:ascii="Times New Roman" w:hAnsi="Times New Roman" w:cs="Times New Roman"/>
          <w:color w:val="auto"/>
          <w:sz w:val="21"/>
          <w:szCs w:val="21"/>
          <w:highlight w:val="none"/>
          <w:shd w:val="clear" w:color="auto" w:fill="FFFFFF"/>
          <w:lang w:val="en-US" w:eastAsia="zh-CN"/>
        </w:rPr>
      </w:pPr>
      <w:r>
        <w:rPr>
          <w:rFonts w:hint="default" w:ascii="Arial" w:hAnsi="Arial" w:cs="Arial"/>
          <w:sz w:val="24"/>
          <w:szCs w:val="24"/>
          <w:highlight w:val="none"/>
          <w:lang w:val="en-US" w:eastAsia="zh-CN"/>
        </w:rPr>
        <w:t>2.</w:t>
      </w:r>
      <w:r>
        <w:rPr>
          <w:rFonts w:hint="eastAsia" w:ascii="Arial" w:hAnsi="Arial" w:cs="Arial"/>
          <w:sz w:val="24"/>
          <w:szCs w:val="24"/>
          <w:highlight w:val="none"/>
          <w:lang w:val="en-US" w:eastAsia="zh-CN"/>
        </w:rPr>
        <w:t>2</w:t>
      </w:r>
      <w:r>
        <w:rPr>
          <w:rFonts w:hint="default" w:ascii="Arial" w:hAnsi="Arial" w:cs="Arial"/>
          <w:sz w:val="24"/>
          <w:szCs w:val="24"/>
          <w:highlight w:val="none"/>
          <w:lang w:val="en-US" w:eastAsia="zh-CN"/>
        </w:rPr>
        <w:t>.</w:t>
      </w:r>
      <w:r>
        <w:rPr>
          <w:rFonts w:hint="eastAsia" w:ascii="Arial" w:hAnsi="Arial" w:cs="Arial"/>
          <w:sz w:val="24"/>
          <w:szCs w:val="24"/>
          <w:highlight w:val="none"/>
          <w:lang w:val="en-US" w:eastAsia="zh-CN"/>
        </w:rPr>
        <w:t>6</w:t>
      </w:r>
      <w:r>
        <w:rPr>
          <w:rFonts w:hint="default" w:ascii="Arial" w:hAnsi="Arial" w:cs="Arial"/>
          <w:sz w:val="24"/>
          <w:szCs w:val="24"/>
          <w:highlight w:val="none"/>
          <w:lang w:val="en-US" w:eastAsia="zh-CN"/>
        </w:rPr>
        <w:t xml:space="preserve"> </w:t>
      </w:r>
      <w:r>
        <w:rPr>
          <w:rFonts w:hint="eastAsia" w:ascii="Arial" w:hAnsi="Arial" w:cs="Arial"/>
          <w:sz w:val="24"/>
          <w:szCs w:val="24"/>
          <w:highlight w:val="none"/>
          <w:lang w:val="en-US" w:eastAsia="zh-CN"/>
        </w:rPr>
        <w:t>Case 14</w:t>
      </w:r>
    </w:p>
    <w:p>
      <w:pPr>
        <w:pStyle w:val="19"/>
        <w:pBdr>
          <w:top w:val="none" w:color="auto" w:sz="0" w:space="0"/>
          <w:left w:val="none" w:color="auto" w:sz="0" w:space="0"/>
          <w:bottom w:val="none" w:color="auto" w:sz="0" w:space="0"/>
          <w:right w:val="none" w:color="auto" w:sz="0" w:space="0"/>
          <w:between w:val="none" w:color="auto" w:sz="0" w:space="0"/>
        </w:pBdr>
        <w:shd w:val="clear" w:color="auto" w:fill="FFFFFF"/>
        <w:spacing w:before="60" w:beforeAutospacing="0" w:after="0" w:afterAutospacing="0" w:line="300" w:lineRule="atLeast"/>
        <w:jc w:val="left"/>
        <w:rPr>
          <w:rFonts w:hint="default"/>
          <w:highlight w:val="none"/>
          <w:lang w:val="en-US"/>
        </w:rPr>
      </w:pPr>
      <w:r>
        <w:rPr>
          <w:rStyle w:val="27"/>
          <w:rFonts w:hint="eastAsia" w:ascii="Times New Roman" w:hAnsi="Times New Roman" w:cs="Times New Roman"/>
          <w:color w:val="auto"/>
          <w:sz w:val="21"/>
          <w:szCs w:val="21"/>
          <w:highlight w:val="none"/>
          <w:shd w:val="clear" w:color="auto" w:fill="FFFFFF"/>
          <w:lang w:val="en-US" w:eastAsia="zh-CN"/>
        </w:rPr>
        <w:t xml:space="preserve">In the following figure 17b, TN DL interfering ATG UL, there are relative high interference, however due to the high SINR within the ATG uplink carrier, therefore the tolerance for ACI is still okay. If with 3*ISD isolation, the ACI from TN DL would be further reduced and there would be no coexistence problems anymore. </w:t>
      </w:r>
    </w:p>
    <w:p>
      <w:pPr>
        <w:pStyle w:val="40"/>
        <w:ind w:left="0" w:firstLine="0"/>
        <w:rPr>
          <w:rFonts w:hint="eastAsia"/>
          <w:highlight w:val="none"/>
          <w:lang w:val="en-US" w:eastAsia="zh-CN"/>
        </w:rPr>
      </w:pPr>
    </w:p>
    <w:p>
      <w:pPr>
        <w:pStyle w:val="19"/>
        <w:shd w:val="clear" w:color="auto" w:fill="FFFFFF"/>
        <w:spacing w:before="60" w:after="0" w:line="300" w:lineRule="atLeast"/>
        <w:jc w:val="center"/>
        <w:rPr>
          <w:rFonts w:hint="default"/>
          <w:highlight w:val="none"/>
          <w:lang w:val="en-US" w:eastAsia="zh-CN"/>
        </w:rPr>
      </w:pPr>
      <w:r>
        <w:rPr>
          <w:highlight w:val="none"/>
        </w:rPr>
        <w:drawing>
          <wp:inline distT="0" distB="0" distL="114300" distR="114300">
            <wp:extent cx="3238500" cy="2428875"/>
            <wp:effectExtent l="0" t="0" r="0" b="9525"/>
            <wp:docPr id="6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8"/>
                    <pic:cNvPicPr>
                      <a:picLocks noChangeAspect="1"/>
                    </pic:cNvPicPr>
                  </pic:nvPicPr>
                  <pic:blipFill>
                    <a:blip r:embed="rId29"/>
                    <a:stretch>
                      <a:fillRect/>
                    </a:stretch>
                  </pic:blipFill>
                  <pic:spPr>
                    <a:xfrm>
                      <a:off x="0" y="0"/>
                      <a:ext cx="3238500" cy="2428875"/>
                    </a:xfrm>
                    <a:prstGeom prst="rect">
                      <a:avLst/>
                    </a:prstGeom>
                    <a:noFill/>
                    <a:ln>
                      <a:noFill/>
                    </a:ln>
                  </pic:spPr>
                </pic:pic>
              </a:graphicData>
            </a:graphic>
          </wp:inline>
        </w:drawing>
      </w:r>
    </w:p>
    <w:p>
      <w:pPr>
        <w:pStyle w:val="54"/>
        <w:keepNext/>
        <w:keepLines/>
        <w:widowControl/>
        <w:numPr>
          <w:ilvl w:val="0"/>
          <w:numId w:val="0"/>
        </w:numPr>
        <w:pBdr>
          <w:top w:val="single" w:color="auto" w:sz="12" w:space="1"/>
        </w:pBdr>
        <w:tabs>
          <w:tab w:val="left" w:pos="567"/>
          <w:tab w:val="clear" w:pos="1985"/>
        </w:tabs>
        <w:adjustRightInd w:val="0"/>
        <w:spacing w:before="240" w:after="180"/>
        <w:jc w:val="center"/>
        <w:outlineLvl w:val="9"/>
        <w:rPr>
          <w:rFonts w:hint="default" w:ascii="Arial" w:hAnsi="Arial" w:cs="Arial"/>
          <w:sz w:val="28"/>
          <w:szCs w:val="28"/>
          <w:highlight w:val="none"/>
          <w:lang w:val="en-US" w:eastAsia="zh-CN"/>
        </w:rPr>
      </w:pPr>
      <w:r>
        <w:rPr>
          <w:rFonts w:hint="eastAsia" w:ascii="Times New Roman" w:hAnsi="Times New Roman"/>
          <w:kern w:val="2"/>
          <w:sz w:val="21"/>
          <w:szCs w:val="22"/>
          <w:highlight w:val="none"/>
          <w:lang w:val="en-US" w:eastAsia="zh-CN"/>
        </w:rPr>
        <w:t>Figure 17 simulation results for Case 14</w:t>
      </w:r>
    </w:p>
    <w:p>
      <w:pPr>
        <w:pStyle w:val="54"/>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cs="Times New Roman"/>
          <w:kern w:val="2"/>
          <w:sz w:val="21"/>
          <w:szCs w:val="22"/>
          <w:highlight w:val="none"/>
          <w:lang w:val="en-US" w:eastAsia="zh-CN" w:bidi="ar-SA"/>
        </w:rPr>
      </w:pPr>
      <w:r>
        <w:rPr>
          <w:rFonts w:hint="eastAsia" w:eastAsiaTheme="minorEastAsia"/>
          <w:highlight w:val="none"/>
          <w:lang w:val="en-US" w:eastAsia="zh-CN"/>
        </w:rPr>
        <w:t xml:space="preserve">In this contribution, </w:t>
      </w:r>
      <w:r>
        <w:rPr>
          <w:rFonts w:hint="eastAsia"/>
          <w:highlight w:val="none"/>
          <w:lang w:val="en-US" w:eastAsia="zh-CN"/>
        </w:rPr>
        <w:t xml:space="preserve">we </w:t>
      </w:r>
      <w:r>
        <w:rPr>
          <w:rFonts w:hint="eastAsia" w:cs="Times New Roman"/>
          <w:kern w:val="2"/>
          <w:sz w:val="21"/>
          <w:szCs w:val="22"/>
          <w:highlight w:val="none"/>
          <w:lang w:val="en-US" w:eastAsia="zh-CN" w:bidi="ar-SA"/>
        </w:rPr>
        <w:t>shared some further views on coexistence study for ATG coexistence and proposals are made as following:</w:t>
      </w:r>
    </w:p>
    <w:p>
      <w:pPr>
        <w:keepNext w:val="0"/>
        <w:keepLines w:val="0"/>
        <w:pageBreakBefore w:val="0"/>
        <w:widowControl w:val="0"/>
        <w:kinsoku/>
        <w:wordWrap/>
        <w:overflowPunct/>
        <w:topLinePunct w:val="0"/>
        <w:autoSpaceDE/>
        <w:autoSpaceDN/>
        <w:bidi w:val="0"/>
        <w:adjustRightInd/>
        <w:snapToGrid/>
        <w:jc w:val="left"/>
        <w:textAlignment w:val="auto"/>
        <w:rPr>
          <w:rFonts w:hint="eastAsia" w:cs="Times New Roman"/>
          <w:kern w:val="2"/>
          <w:sz w:val="21"/>
          <w:szCs w:val="22"/>
          <w:highlight w:val="none"/>
          <w:lang w:val="en-US" w:eastAsia="zh-CN" w:bidi="ar-SA"/>
        </w:rPr>
      </w:pPr>
      <w:r>
        <w:rPr>
          <w:rFonts w:hint="eastAsia"/>
          <w:b/>
          <w:bCs/>
          <w:highlight w:val="none"/>
          <w:lang w:val="en-US" w:eastAsia="zh-CN"/>
        </w:rPr>
        <w:t>Observation 1:</w:t>
      </w:r>
      <w:r>
        <w:rPr>
          <w:rFonts w:hint="eastAsia"/>
          <w:highlight w:val="none"/>
          <w:lang w:val="en-US" w:eastAsia="zh-CN"/>
        </w:rPr>
        <w:t xml:space="preserve"> based on the simulation results in Case 1 and Case 9, it</w:t>
      </w:r>
      <w:r>
        <w:rPr>
          <w:rFonts w:hint="default"/>
          <w:highlight w:val="none"/>
          <w:lang w:val="en-US" w:eastAsia="zh-CN"/>
        </w:rPr>
        <w:t>’</w:t>
      </w:r>
      <w:r>
        <w:rPr>
          <w:rFonts w:hint="eastAsia"/>
          <w:highlight w:val="none"/>
          <w:lang w:val="en-US" w:eastAsia="zh-CN"/>
        </w:rPr>
        <w:t xml:space="preserve">s reasonable to </w:t>
      </w:r>
      <w:r>
        <w:rPr>
          <w:rFonts w:hint="eastAsia" w:cs="Times New Roman"/>
          <w:kern w:val="2"/>
          <w:sz w:val="21"/>
          <w:szCs w:val="22"/>
          <w:highlight w:val="none"/>
          <w:lang w:val="en-US" w:eastAsia="zh-CN" w:bidi="ar-SA"/>
        </w:rPr>
        <w:t>reuse the legacy FR1 ACLR 45dBc requirement for ATG BS.</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highlight w:val="none"/>
          <w:lang w:val="en-US" w:eastAsia="zh-CN"/>
        </w:rPr>
      </w:pPr>
      <w:r>
        <w:rPr>
          <w:rFonts w:hint="eastAsia"/>
          <w:b/>
          <w:bCs/>
          <w:highlight w:val="none"/>
          <w:lang w:val="en-US" w:eastAsia="zh-CN"/>
        </w:rPr>
        <w:t>Observation 2:</w:t>
      </w:r>
      <w:r>
        <w:rPr>
          <w:rFonts w:hint="eastAsia"/>
          <w:highlight w:val="none"/>
          <w:lang w:val="en-US" w:eastAsia="zh-CN"/>
        </w:rPr>
        <w:t xml:space="preserve"> based on the initial simulation results in Case 4 and Case 12, it</w:t>
      </w:r>
      <w:r>
        <w:rPr>
          <w:rFonts w:hint="default"/>
          <w:highlight w:val="none"/>
          <w:lang w:val="en-US" w:eastAsia="zh-CN"/>
        </w:rPr>
        <w:t>’</w:t>
      </w:r>
      <w:r>
        <w:rPr>
          <w:rFonts w:hint="eastAsia"/>
          <w:highlight w:val="none"/>
          <w:lang w:val="en-US" w:eastAsia="zh-CN"/>
        </w:rPr>
        <w:t xml:space="preserve">s sufficient to </w:t>
      </w:r>
      <w:r>
        <w:rPr>
          <w:rFonts w:hint="eastAsia" w:cs="Times New Roman"/>
          <w:kern w:val="2"/>
          <w:sz w:val="21"/>
          <w:szCs w:val="22"/>
          <w:highlight w:val="none"/>
          <w:lang w:val="en-US" w:eastAsia="zh-CN" w:bidi="ar-SA"/>
        </w:rPr>
        <w:t>reuse the legacy FR1 ACS 46dBc requirement for ATG BS.</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eastAsia"/>
          <w:sz w:val="20"/>
          <w:highlight w:val="none"/>
          <w:lang w:val="en-US" w:eastAsia="zh-CN"/>
        </w:rPr>
      </w:pPr>
      <w:r>
        <w:rPr>
          <w:rFonts w:hint="eastAsia"/>
          <w:b/>
          <w:bCs/>
          <w:highlight w:val="none"/>
          <w:lang w:val="en-US" w:eastAsia="zh-CN"/>
        </w:rPr>
        <w:t>Observation 3:</w:t>
      </w:r>
      <w:r>
        <w:rPr>
          <w:rFonts w:hint="eastAsia"/>
          <w:highlight w:val="none"/>
          <w:lang w:val="en-US" w:eastAsia="zh-CN"/>
        </w:rPr>
        <w:t xml:space="preserve"> based on the initial simulation results in Case 2 and Case 10, </w:t>
      </w:r>
      <w:r>
        <w:rPr>
          <w:rFonts w:hint="eastAsia" w:cs="Times New Roman"/>
          <w:kern w:val="2"/>
          <w:sz w:val="21"/>
          <w:szCs w:val="22"/>
          <w:highlight w:val="none"/>
          <w:lang w:val="en-US" w:eastAsia="zh-CN" w:bidi="ar-SA"/>
        </w:rPr>
        <w:t>it should be sufficient to reuse the legacy FR1 UE PC3 ACLR requirement 30dBc requirement for ATG UE.</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jc w:val="both"/>
        <w:textAlignment w:val="auto"/>
        <w:outlineLvl w:val="9"/>
        <w:rPr>
          <w:rFonts w:hint="default" w:cs="Times New Roman"/>
          <w:kern w:val="2"/>
          <w:sz w:val="21"/>
          <w:szCs w:val="22"/>
          <w:highlight w:val="none"/>
          <w:lang w:val="en-US" w:eastAsia="zh-CN" w:bidi="ar-SA"/>
        </w:rPr>
      </w:pPr>
      <w:r>
        <w:rPr>
          <w:rFonts w:hint="eastAsia"/>
          <w:b/>
          <w:bCs/>
          <w:highlight w:val="none"/>
          <w:lang w:val="en-US" w:eastAsia="zh-CN"/>
        </w:rPr>
        <w:t>Observation 4:</w:t>
      </w:r>
      <w:r>
        <w:rPr>
          <w:rFonts w:hint="eastAsia"/>
          <w:highlight w:val="none"/>
          <w:lang w:val="en-US" w:eastAsia="zh-CN"/>
        </w:rPr>
        <w:t xml:space="preserve"> based on the initial simulation results in Case 3 and Case 11, </w:t>
      </w:r>
      <w:r>
        <w:rPr>
          <w:rFonts w:hint="eastAsia" w:cs="Times New Roman"/>
          <w:kern w:val="2"/>
          <w:sz w:val="21"/>
          <w:szCs w:val="22"/>
          <w:highlight w:val="none"/>
          <w:lang w:val="en-US" w:eastAsia="zh-CN" w:bidi="ar-SA"/>
        </w:rPr>
        <w:t>it should be sufficient to reuse the legacy FR1 UE PC3 ACS requirement 33dBc requirement for ATG UE.</w:t>
      </w:r>
    </w:p>
    <w:p>
      <w:pPr>
        <w:pStyle w:val="54"/>
        <w:tabs>
          <w:tab w:val="left" w:pos="567"/>
          <w:tab w:val="clear" w:pos="1985"/>
        </w:tabs>
        <w:adjustRightInd w:val="0"/>
        <w:ind w:left="510" w:hanging="510"/>
        <w:rPr>
          <w:highlight w:val="none"/>
        </w:rPr>
      </w:pPr>
      <w:r>
        <w:rPr>
          <w:highlight w:val="none"/>
        </w:rPr>
        <w:t>References</w:t>
      </w:r>
    </w:p>
    <w:p>
      <w:pPr>
        <w:pStyle w:val="52"/>
        <w:numPr>
          <w:ilvl w:val="0"/>
          <w:numId w:val="3"/>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RP-221369, Core part: Air-to-ground network for NR</w:t>
      </w:r>
      <w:r>
        <w:rPr>
          <w:rFonts w:hint="eastAsia" w:cs="Times New Roman"/>
          <w:sz w:val="20"/>
          <w:szCs w:val="20"/>
          <w:highlight w:val="none"/>
          <w:lang w:val="en-US" w:eastAsia="zh-CN"/>
        </w:rPr>
        <w:t>, CMCC, Approved.</w:t>
      </w:r>
    </w:p>
    <w:p>
      <w:pPr>
        <w:pStyle w:val="52"/>
        <w:numPr>
          <w:ilvl w:val="0"/>
          <w:numId w:val="3"/>
        </w:numPr>
        <w:rPr>
          <w:rFonts w:hint="eastAsia" w:ascii="Times New Roman" w:hAnsi="Times New Roman" w:eastAsia="宋体" w:cs="Times New Roman"/>
          <w:sz w:val="20"/>
          <w:szCs w:val="20"/>
          <w:highlight w:val="none"/>
          <w:lang w:val="en-US" w:eastAsia="zh-CN"/>
        </w:rPr>
      </w:pPr>
      <w:r>
        <w:rPr>
          <w:rFonts w:hint="eastAsia" w:eastAsia="宋体"/>
          <w:sz w:val="20"/>
          <w:szCs w:val="20"/>
          <w:highlight w:val="none"/>
        </w:rPr>
        <w:t>R4-2214459</w:t>
      </w:r>
      <w:r>
        <w:rPr>
          <w:rFonts w:hint="eastAsia"/>
          <w:sz w:val="20"/>
          <w:szCs w:val="20"/>
          <w:highlight w:val="none"/>
          <w:lang w:val="en-US" w:eastAsia="zh-CN"/>
        </w:rPr>
        <w:t>,</w:t>
      </w:r>
      <w:r>
        <w:rPr>
          <w:rFonts w:hint="eastAsia" w:eastAsia="宋体"/>
          <w:sz w:val="20"/>
          <w:szCs w:val="20"/>
          <w:highlight w:val="none"/>
        </w:rPr>
        <w:t>WF on co-existence evaluation for ATG</w:t>
      </w:r>
      <w:r>
        <w:rPr>
          <w:rFonts w:hint="eastAsia"/>
          <w:sz w:val="20"/>
          <w:szCs w:val="20"/>
          <w:highlight w:val="none"/>
          <w:lang w:val="en-US" w:eastAsia="zh-CN"/>
        </w:rPr>
        <w:t>, Huawei, Approved.</w:t>
      </w:r>
    </w:p>
    <w:p>
      <w:pPr>
        <w:pStyle w:val="52"/>
        <w:numPr>
          <w:ilvl w:val="0"/>
          <w:numId w:val="3"/>
        </w:numPr>
        <w:rPr>
          <w:rFonts w:hint="eastAsia" w:ascii="Times New Roman" w:hAnsi="Times New Roman" w:cs="Times New Roman"/>
          <w:b w:val="0"/>
          <w:sz w:val="20"/>
          <w:szCs w:val="20"/>
          <w:highlight w:val="none"/>
        </w:rPr>
      </w:pPr>
      <w:r>
        <w:rPr>
          <w:rFonts w:hint="eastAsia" w:eastAsia="宋体"/>
          <w:sz w:val="20"/>
          <w:szCs w:val="20"/>
          <w:highlight w:val="none"/>
          <w:lang w:eastAsia="zh-CN"/>
        </w:rPr>
        <w:t>R4-2217736</w:t>
      </w:r>
      <w:r>
        <w:rPr>
          <w:rFonts w:hint="eastAsia"/>
          <w:sz w:val="20"/>
          <w:szCs w:val="20"/>
          <w:highlight w:val="none"/>
          <w:lang w:val="en-US" w:eastAsia="zh-CN"/>
        </w:rPr>
        <w:t xml:space="preserve">, </w:t>
      </w:r>
      <w:r>
        <w:rPr>
          <w:rFonts w:hint="eastAsia" w:eastAsia="宋体"/>
          <w:sz w:val="20"/>
          <w:szCs w:val="20"/>
          <w:highlight w:val="none"/>
          <w:lang w:eastAsia="zh-CN"/>
        </w:rPr>
        <w:t>WF on FR1 co-existence evaluation for ATG</w:t>
      </w:r>
      <w:r>
        <w:rPr>
          <w:rFonts w:hint="eastAsia"/>
          <w:sz w:val="20"/>
          <w:szCs w:val="20"/>
          <w:highlight w:val="none"/>
          <w:lang w:val="en-US" w:eastAsia="zh-CN"/>
        </w:rPr>
        <w:t>, CMCC, Approved.</w:t>
      </w:r>
    </w:p>
    <w:p>
      <w:pPr>
        <w:pStyle w:val="52"/>
        <w:numPr>
          <w:ilvl w:val="0"/>
          <w:numId w:val="3"/>
        </w:numPr>
        <w:rPr>
          <w:rFonts w:hint="eastAsia" w:eastAsia="宋体"/>
          <w:sz w:val="20"/>
          <w:szCs w:val="20"/>
          <w:highlight w:val="none"/>
          <w:lang w:eastAsia="zh-CN"/>
        </w:rPr>
      </w:pPr>
      <w:r>
        <w:rPr>
          <w:rFonts w:hint="eastAsia"/>
          <w:sz w:val="20"/>
          <w:szCs w:val="20"/>
          <w:highlight w:val="none"/>
          <w:lang w:eastAsia="zh-CN"/>
        </w:rPr>
        <w:fldChar w:fldCharType="begin"/>
      </w:r>
      <w:r>
        <w:rPr>
          <w:rFonts w:hint="eastAsia"/>
          <w:sz w:val="20"/>
          <w:szCs w:val="20"/>
          <w:highlight w:val="none"/>
          <w:lang w:eastAsia="zh-CN"/>
        </w:rPr>
        <w:instrText xml:space="preserve"> HYPERLINK "file:///D:\\RAN4%23106\\Docs\\R4-2303573.zip" </w:instrText>
      </w:r>
      <w:r>
        <w:rPr>
          <w:rFonts w:hint="eastAsia"/>
          <w:sz w:val="20"/>
          <w:szCs w:val="20"/>
          <w:highlight w:val="none"/>
          <w:lang w:eastAsia="zh-CN"/>
        </w:rPr>
        <w:fldChar w:fldCharType="separate"/>
      </w:r>
      <w:r>
        <w:rPr>
          <w:rFonts w:hint="eastAsia" w:ascii="Times New Roman" w:hAnsi="Times New Roman" w:cs="Times New Roman"/>
          <w:b w:val="0"/>
          <w:sz w:val="20"/>
          <w:szCs w:val="20"/>
          <w:highlight w:val="none"/>
          <w:lang w:eastAsia="zh-CN"/>
        </w:rPr>
        <w:t>R4-2303573</w:t>
      </w:r>
      <w:r>
        <w:rPr>
          <w:rFonts w:hint="eastAsia" w:ascii="Times New Roman" w:hAnsi="Times New Roman" w:cs="Times New Roman"/>
          <w:b w:val="0"/>
          <w:sz w:val="20"/>
          <w:szCs w:val="20"/>
          <w:highlight w:val="none"/>
          <w:lang w:eastAsia="zh-CN"/>
        </w:rPr>
        <w:fldChar w:fldCharType="end"/>
      </w:r>
      <w:r>
        <w:rPr>
          <w:rFonts w:hint="eastAsia" w:cs="Times New Roman"/>
          <w:b w:val="0"/>
          <w:sz w:val="20"/>
          <w:szCs w:val="20"/>
          <w:highlight w:val="none"/>
          <w:lang w:val="en-US" w:eastAsia="zh-CN"/>
        </w:rPr>
        <w:t xml:space="preserve">, </w:t>
      </w:r>
      <w:r>
        <w:rPr>
          <w:rFonts w:hint="eastAsia" w:ascii="Times New Roman" w:hAnsi="Times New Roman" w:cs="Times New Roman"/>
          <w:b w:val="0"/>
          <w:sz w:val="20"/>
          <w:szCs w:val="20"/>
          <w:highlight w:val="none"/>
          <w:lang w:eastAsia="zh-CN"/>
        </w:rPr>
        <w:t>WF on ATG co-existence evaluation</w:t>
      </w:r>
      <w:r>
        <w:rPr>
          <w:rFonts w:hint="eastAsia" w:cs="Times New Roman"/>
          <w:b w:val="0"/>
          <w:sz w:val="20"/>
          <w:szCs w:val="20"/>
          <w:highlight w:val="none"/>
          <w:lang w:val="en-US" w:eastAsia="zh-CN"/>
        </w:rPr>
        <w:t>, Approved.</w:t>
      </w:r>
    </w:p>
    <w:p>
      <w:pPr>
        <w:pStyle w:val="52"/>
        <w:widowControl w:val="0"/>
        <w:numPr>
          <w:ilvl w:val="0"/>
          <w:numId w:val="0"/>
        </w:numPr>
        <w:jc w:val="both"/>
        <w:rPr>
          <w:rFonts w:hint="eastAsia"/>
          <w:sz w:val="20"/>
          <w:szCs w:val="20"/>
          <w:highlight w:val="none"/>
          <w:lang w:val="en-US" w:eastAsia="zh-CN"/>
        </w:rPr>
      </w:pPr>
    </w:p>
    <w:p>
      <w:pPr>
        <w:pStyle w:val="52"/>
        <w:widowControl w:val="0"/>
        <w:numPr>
          <w:ilvl w:val="0"/>
          <w:numId w:val="0"/>
        </w:numPr>
        <w:jc w:val="center"/>
        <w:rPr>
          <w:rFonts w:hint="eastAsia"/>
          <w:lang w:eastAsia="zh-CN"/>
        </w:r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3DCA40B1"/>
    <w:multiLevelType w:val="multilevel"/>
    <w:tmpl w:val="3DCA40B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Symbol" w:hAnsi="Symbol"/>
      </w:rPr>
    </w:lvl>
    <w:lvl w:ilvl="2" w:tentative="0">
      <w:start w:val="1"/>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Times New Roman" w:hAnsi="Times New Roman" w:eastAsia="宋体" w:cs="Times New Roman"/>
      </w:rPr>
    </w:lvl>
    <w:lvl w:ilvl="4" w:tentative="0">
      <w:start w:val="1"/>
      <w:numFmt w:val="bullet"/>
      <w:lvlText w:val="o"/>
      <w:lvlJc w:val="left"/>
      <w:pPr>
        <w:ind w:left="2100" w:hanging="42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0C8D"/>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7C0"/>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7DE"/>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037CE"/>
    <w:rsid w:val="010129AE"/>
    <w:rsid w:val="0102543E"/>
    <w:rsid w:val="01033A02"/>
    <w:rsid w:val="01115B33"/>
    <w:rsid w:val="0112068B"/>
    <w:rsid w:val="01133912"/>
    <w:rsid w:val="01164A78"/>
    <w:rsid w:val="011942F8"/>
    <w:rsid w:val="011B7946"/>
    <w:rsid w:val="012823DD"/>
    <w:rsid w:val="012A6A7A"/>
    <w:rsid w:val="013A4C94"/>
    <w:rsid w:val="01402D63"/>
    <w:rsid w:val="01442D89"/>
    <w:rsid w:val="014D451E"/>
    <w:rsid w:val="01594895"/>
    <w:rsid w:val="015C06BF"/>
    <w:rsid w:val="015F18F2"/>
    <w:rsid w:val="015F5FA3"/>
    <w:rsid w:val="01662CC4"/>
    <w:rsid w:val="016800B9"/>
    <w:rsid w:val="017059E0"/>
    <w:rsid w:val="01742CCA"/>
    <w:rsid w:val="01791D2E"/>
    <w:rsid w:val="01821D8F"/>
    <w:rsid w:val="01894E8D"/>
    <w:rsid w:val="018B59ED"/>
    <w:rsid w:val="018C2266"/>
    <w:rsid w:val="018C3642"/>
    <w:rsid w:val="018D7DCE"/>
    <w:rsid w:val="0195201D"/>
    <w:rsid w:val="019C3DA8"/>
    <w:rsid w:val="019F6F12"/>
    <w:rsid w:val="01A402CD"/>
    <w:rsid w:val="01A5504D"/>
    <w:rsid w:val="01A742A2"/>
    <w:rsid w:val="01BE34DB"/>
    <w:rsid w:val="01BE6ACE"/>
    <w:rsid w:val="01C027D4"/>
    <w:rsid w:val="01C32135"/>
    <w:rsid w:val="01CB0428"/>
    <w:rsid w:val="01CB7A2C"/>
    <w:rsid w:val="01CF07AE"/>
    <w:rsid w:val="01D518FC"/>
    <w:rsid w:val="01D615E1"/>
    <w:rsid w:val="01E1598F"/>
    <w:rsid w:val="01E268ED"/>
    <w:rsid w:val="01EB3247"/>
    <w:rsid w:val="01EB414A"/>
    <w:rsid w:val="01ED0229"/>
    <w:rsid w:val="01F33D9D"/>
    <w:rsid w:val="01F60577"/>
    <w:rsid w:val="02016155"/>
    <w:rsid w:val="020F4070"/>
    <w:rsid w:val="021042F2"/>
    <w:rsid w:val="021A2C38"/>
    <w:rsid w:val="021D2604"/>
    <w:rsid w:val="02293A2A"/>
    <w:rsid w:val="022D5BF3"/>
    <w:rsid w:val="022F6559"/>
    <w:rsid w:val="022F66E0"/>
    <w:rsid w:val="022F7D9C"/>
    <w:rsid w:val="0238292F"/>
    <w:rsid w:val="023E7088"/>
    <w:rsid w:val="0240545F"/>
    <w:rsid w:val="024C13AB"/>
    <w:rsid w:val="0251470E"/>
    <w:rsid w:val="02532AA9"/>
    <w:rsid w:val="025732DD"/>
    <w:rsid w:val="0262197E"/>
    <w:rsid w:val="027035EC"/>
    <w:rsid w:val="02732393"/>
    <w:rsid w:val="028278C3"/>
    <w:rsid w:val="028748E0"/>
    <w:rsid w:val="02892A7A"/>
    <w:rsid w:val="02927A98"/>
    <w:rsid w:val="029342BD"/>
    <w:rsid w:val="029D3139"/>
    <w:rsid w:val="02AF6836"/>
    <w:rsid w:val="02B06DC0"/>
    <w:rsid w:val="02B31189"/>
    <w:rsid w:val="02B85839"/>
    <w:rsid w:val="02C86D51"/>
    <w:rsid w:val="02CE3DD2"/>
    <w:rsid w:val="02CF0BD4"/>
    <w:rsid w:val="02D72CF0"/>
    <w:rsid w:val="02DB3978"/>
    <w:rsid w:val="02DC6BBC"/>
    <w:rsid w:val="02E3271D"/>
    <w:rsid w:val="02E929C0"/>
    <w:rsid w:val="02F573DC"/>
    <w:rsid w:val="02F95CD1"/>
    <w:rsid w:val="030150CB"/>
    <w:rsid w:val="030313BA"/>
    <w:rsid w:val="03142F2C"/>
    <w:rsid w:val="0315569B"/>
    <w:rsid w:val="031712C4"/>
    <w:rsid w:val="03186045"/>
    <w:rsid w:val="031967AA"/>
    <w:rsid w:val="031E0FAC"/>
    <w:rsid w:val="031E4C95"/>
    <w:rsid w:val="032E4DBB"/>
    <w:rsid w:val="0332111E"/>
    <w:rsid w:val="03332CAE"/>
    <w:rsid w:val="03343BC7"/>
    <w:rsid w:val="033D44BC"/>
    <w:rsid w:val="033F52A3"/>
    <w:rsid w:val="033F7E0C"/>
    <w:rsid w:val="03402EB3"/>
    <w:rsid w:val="034E41AA"/>
    <w:rsid w:val="034F5F48"/>
    <w:rsid w:val="0354325C"/>
    <w:rsid w:val="035C4C68"/>
    <w:rsid w:val="035D2EB4"/>
    <w:rsid w:val="03651217"/>
    <w:rsid w:val="03687ADD"/>
    <w:rsid w:val="03696DA6"/>
    <w:rsid w:val="036A231E"/>
    <w:rsid w:val="03774924"/>
    <w:rsid w:val="03822F79"/>
    <w:rsid w:val="0394340C"/>
    <w:rsid w:val="0395764C"/>
    <w:rsid w:val="039B69FD"/>
    <w:rsid w:val="03A32E58"/>
    <w:rsid w:val="03C0647A"/>
    <w:rsid w:val="03C6618A"/>
    <w:rsid w:val="03CD06E1"/>
    <w:rsid w:val="03CD6E1F"/>
    <w:rsid w:val="03D4427A"/>
    <w:rsid w:val="03E54642"/>
    <w:rsid w:val="03F54B29"/>
    <w:rsid w:val="03F81356"/>
    <w:rsid w:val="03F947E9"/>
    <w:rsid w:val="03FF3D36"/>
    <w:rsid w:val="04034FE6"/>
    <w:rsid w:val="040A5247"/>
    <w:rsid w:val="040B2442"/>
    <w:rsid w:val="040C6238"/>
    <w:rsid w:val="040E704D"/>
    <w:rsid w:val="041875C1"/>
    <w:rsid w:val="04193A43"/>
    <w:rsid w:val="04225784"/>
    <w:rsid w:val="04252816"/>
    <w:rsid w:val="043711E5"/>
    <w:rsid w:val="04376B0F"/>
    <w:rsid w:val="043A0869"/>
    <w:rsid w:val="04433114"/>
    <w:rsid w:val="0444143C"/>
    <w:rsid w:val="0444783F"/>
    <w:rsid w:val="044753DC"/>
    <w:rsid w:val="0452753E"/>
    <w:rsid w:val="045835A5"/>
    <w:rsid w:val="045A7BB7"/>
    <w:rsid w:val="045C0E21"/>
    <w:rsid w:val="045E1DEE"/>
    <w:rsid w:val="045F23BF"/>
    <w:rsid w:val="04605B56"/>
    <w:rsid w:val="046166C8"/>
    <w:rsid w:val="04671100"/>
    <w:rsid w:val="046A07E4"/>
    <w:rsid w:val="046E568E"/>
    <w:rsid w:val="046F2C8C"/>
    <w:rsid w:val="04786ED3"/>
    <w:rsid w:val="04856247"/>
    <w:rsid w:val="04865E52"/>
    <w:rsid w:val="048829D4"/>
    <w:rsid w:val="049B40DC"/>
    <w:rsid w:val="04B1469E"/>
    <w:rsid w:val="04D158CF"/>
    <w:rsid w:val="04D66461"/>
    <w:rsid w:val="050B4FA8"/>
    <w:rsid w:val="050D6F1E"/>
    <w:rsid w:val="051034CD"/>
    <w:rsid w:val="05174028"/>
    <w:rsid w:val="051F43BC"/>
    <w:rsid w:val="052432F7"/>
    <w:rsid w:val="05280A89"/>
    <w:rsid w:val="05367F8C"/>
    <w:rsid w:val="053E1AC2"/>
    <w:rsid w:val="0545651B"/>
    <w:rsid w:val="05583DC1"/>
    <w:rsid w:val="05587197"/>
    <w:rsid w:val="055A77BF"/>
    <w:rsid w:val="05671C9C"/>
    <w:rsid w:val="05687505"/>
    <w:rsid w:val="05734531"/>
    <w:rsid w:val="05784E56"/>
    <w:rsid w:val="05804262"/>
    <w:rsid w:val="05816D10"/>
    <w:rsid w:val="058A5370"/>
    <w:rsid w:val="058E6ED4"/>
    <w:rsid w:val="05930F73"/>
    <w:rsid w:val="05940F3F"/>
    <w:rsid w:val="05991C8F"/>
    <w:rsid w:val="05A706E9"/>
    <w:rsid w:val="05B11A20"/>
    <w:rsid w:val="05B173DC"/>
    <w:rsid w:val="05B27D07"/>
    <w:rsid w:val="05B658ED"/>
    <w:rsid w:val="05BC079D"/>
    <w:rsid w:val="05BE42A5"/>
    <w:rsid w:val="05C256BE"/>
    <w:rsid w:val="05CC32B8"/>
    <w:rsid w:val="05D16BC6"/>
    <w:rsid w:val="05E26D76"/>
    <w:rsid w:val="05E32EF6"/>
    <w:rsid w:val="05E660EA"/>
    <w:rsid w:val="05E73462"/>
    <w:rsid w:val="05EB0F6A"/>
    <w:rsid w:val="05EE3B4E"/>
    <w:rsid w:val="05F74DA6"/>
    <w:rsid w:val="05FA1213"/>
    <w:rsid w:val="05FF3135"/>
    <w:rsid w:val="060836A6"/>
    <w:rsid w:val="060C5B07"/>
    <w:rsid w:val="060D249E"/>
    <w:rsid w:val="06111076"/>
    <w:rsid w:val="062843A1"/>
    <w:rsid w:val="062D742E"/>
    <w:rsid w:val="064001EE"/>
    <w:rsid w:val="06474EFD"/>
    <w:rsid w:val="06493A8C"/>
    <w:rsid w:val="064A35EA"/>
    <w:rsid w:val="064B521E"/>
    <w:rsid w:val="064C2727"/>
    <w:rsid w:val="065740AF"/>
    <w:rsid w:val="065A56A2"/>
    <w:rsid w:val="065E3965"/>
    <w:rsid w:val="0665756F"/>
    <w:rsid w:val="06735C62"/>
    <w:rsid w:val="067570AB"/>
    <w:rsid w:val="067B39B4"/>
    <w:rsid w:val="067D28AB"/>
    <w:rsid w:val="06805AC5"/>
    <w:rsid w:val="06836FEC"/>
    <w:rsid w:val="068523FB"/>
    <w:rsid w:val="068A7A1F"/>
    <w:rsid w:val="068C6317"/>
    <w:rsid w:val="069B1966"/>
    <w:rsid w:val="06A32A23"/>
    <w:rsid w:val="06A55EB9"/>
    <w:rsid w:val="06AE0568"/>
    <w:rsid w:val="06B506C7"/>
    <w:rsid w:val="06B548E2"/>
    <w:rsid w:val="06BA7F49"/>
    <w:rsid w:val="06BB4F9D"/>
    <w:rsid w:val="06C72EBF"/>
    <w:rsid w:val="06C9247F"/>
    <w:rsid w:val="06CD3A64"/>
    <w:rsid w:val="06CF5C8A"/>
    <w:rsid w:val="06ED65D9"/>
    <w:rsid w:val="06F30672"/>
    <w:rsid w:val="06F35A7A"/>
    <w:rsid w:val="06F35AB6"/>
    <w:rsid w:val="06F66B05"/>
    <w:rsid w:val="0702074E"/>
    <w:rsid w:val="0708086F"/>
    <w:rsid w:val="07220D76"/>
    <w:rsid w:val="072717DA"/>
    <w:rsid w:val="07277193"/>
    <w:rsid w:val="072911D9"/>
    <w:rsid w:val="072B7E46"/>
    <w:rsid w:val="072F2139"/>
    <w:rsid w:val="073B285A"/>
    <w:rsid w:val="073C25AC"/>
    <w:rsid w:val="07436058"/>
    <w:rsid w:val="074E566F"/>
    <w:rsid w:val="074F3DF9"/>
    <w:rsid w:val="07537C92"/>
    <w:rsid w:val="07556D74"/>
    <w:rsid w:val="075670A4"/>
    <w:rsid w:val="075E667A"/>
    <w:rsid w:val="07660D5A"/>
    <w:rsid w:val="07665169"/>
    <w:rsid w:val="076F4BA4"/>
    <w:rsid w:val="07731BE6"/>
    <w:rsid w:val="07750A92"/>
    <w:rsid w:val="077F542D"/>
    <w:rsid w:val="077F5D16"/>
    <w:rsid w:val="0780654B"/>
    <w:rsid w:val="07817B19"/>
    <w:rsid w:val="078237DE"/>
    <w:rsid w:val="078B062A"/>
    <w:rsid w:val="07916BE4"/>
    <w:rsid w:val="079A693E"/>
    <w:rsid w:val="07A2728D"/>
    <w:rsid w:val="07AA3E51"/>
    <w:rsid w:val="07BE51B2"/>
    <w:rsid w:val="07D835FB"/>
    <w:rsid w:val="07DD018B"/>
    <w:rsid w:val="07E014BE"/>
    <w:rsid w:val="07E04AA8"/>
    <w:rsid w:val="07E5041F"/>
    <w:rsid w:val="07E85751"/>
    <w:rsid w:val="07ED5339"/>
    <w:rsid w:val="07F72FC1"/>
    <w:rsid w:val="07F97CF9"/>
    <w:rsid w:val="07FF65C5"/>
    <w:rsid w:val="0800676F"/>
    <w:rsid w:val="080646E6"/>
    <w:rsid w:val="080F4BCD"/>
    <w:rsid w:val="08171593"/>
    <w:rsid w:val="0825730E"/>
    <w:rsid w:val="0835476E"/>
    <w:rsid w:val="08367FC2"/>
    <w:rsid w:val="08391661"/>
    <w:rsid w:val="084E0029"/>
    <w:rsid w:val="08550FFB"/>
    <w:rsid w:val="085D6C7E"/>
    <w:rsid w:val="08611CAF"/>
    <w:rsid w:val="0865781A"/>
    <w:rsid w:val="0866133E"/>
    <w:rsid w:val="08692F64"/>
    <w:rsid w:val="087716A2"/>
    <w:rsid w:val="08780590"/>
    <w:rsid w:val="087E046C"/>
    <w:rsid w:val="08813C88"/>
    <w:rsid w:val="08942BDF"/>
    <w:rsid w:val="089852F1"/>
    <w:rsid w:val="08990610"/>
    <w:rsid w:val="089A778B"/>
    <w:rsid w:val="089B5449"/>
    <w:rsid w:val="089D6B7D"/>
    <w:rsid w:val="08A03B5E"/>
    <w:rsid w:val="08A275F2"/>
    <w:rsid w:val="08B21918"/>
    <w:rsid w:val="08B40442"/>
    <w:rsid w:val="08B80FEE"/>
    <w:rsid w:val="08B94847"/>
    <w:rsid w:val="08C14001"/>
    <w:rsid w:val="08D836B6"/>
    <w:rsid w:val="08F1760D"/>
    <w:rsid w:val="08F5200D"/>
    <w:rsid w:val="08F911CC"/>
    <w:rsid w:val="09016732"/>
    <w:rsid w:val="09127CF4"/>
    <w:rsid w:val="09156B76"/>
    <w:rsid w:val="092234B5"/>
    <w:rsid w:val="09226860"/>
    <w:rsid w:val="092C26C9"/>
    <w:rsid w:val="092C5A95"/>
    <w:rsid w:val="09334A3F"/>
    <w:rsid w:val="094109B5"/>
    <w:rsid w:val="09444B9B"/>
    <w:rsid w:val="094E3DF1"/>
    <w:rsid w:val="0953050B"/>
    <w:rsid w:val="09546457"/>
    <w:rsid w:val="0958129F"/>
    <w:rsid w:val="09582472"/>
    <w:rsid w:val="095C1132"/>
    <w:rsid w:val="096308E4"/>
    <w:rsid w:val="096913F9"/>
    <w:rsid w:val="096B649C"/>
    <w:rsid w:val="096F18AA"/>
    <w:rsid w:val="096F1D52"/>
    <w:rsid w:val="09713F26"/>
    <w:rsid w:val="097715BA"/>
    <w:rsid w:val="09796C44"/>
    <w:rsid w:val="097E56C1"/>
    <w:rsid w:val="098344BC"/>
    <w:rsid w:val="09846B33"/>
    <w:rsid w:val="098A1B59"/>
    <w:rsid w:val="09902C37"/>
    <w:rsid w:val="099D22A1"/>
    <w:rsid w:val="09A545D9"/>
    <w:rsid w:val="09A64698"/>
    <w:rsid w:val="09AC5074"/>
    <w:rsid w:val="09AD07F3"/>
    <w:rsid w:val="09B14A34"/>
    <w:rsid w:val="09BA5647"/>
    <w:rsid w:val="09C346F5"/>
    <w:rsid w:val="09CD6A58"/>
    <w:rsid w:val="09CD6EF5"/>
    <w:rsid w:val="09DA1C3B"/>
    <w:rsid w:val="09E14486"/>
    <w:rsid w:val="09E4648F"/>
    <w:rsid w:val="09ED4DC6"/>
    <w:rsid w:val="09F1407D"/>
    <w:rsid w:val="09F21427"/>
    <w:rsid w:val="0A02021C"/>
    <w:rsid w:val="0A037432"/>
    <w:rsid w:val="0A093274"/>
    <w:rsid w:val="0A145E2C"/>
    <w:rsid w:val="0A223227"/>
    <w:rsid w:val="0A22459E"/>
    <w:rsid w:val="0A2705E1"/>
    <w:rsid w:val="0A2A6A0B"/>
    <w:rsid w:val="0A312533"/>
    <w:rsid w:val="0A335E1D"/>
    <w:rsid w:val="0A3A0D5D"/>
    <w:rsid w:val="0A3E4E5D"/>
    <w:rsid w:val="0A5056C6"/>
    <w:rsid w:val="0A5060D6"/>
    <w:rsid w:val="0A5B216E"/>
    <w:rsid w:val="0A5F4C2E"/>
    <w:rsid w:val="0A6164A7"/>
    <w:rsid w:val="0A662CDE"/>
    <w:rsid w:val="0A6B69C2"/>
    <w:rsid w:val="0A7200B0"/>
    <w:rsid w:val="0A741F08"/>
    <w:rsid w:val="0A771CA5"/>
    <w:rsid w:val="0A7F11A2"/>
    <w:rsid w:val="0A7F4F37"/>
    <w:rsid w:val="0A843B9D"/>
    <w:rsid w:val="0A8621F2"/>
    <w:rsid w:val="0A8C711B"/>
    <w:rsid w:val="0A8F1F9F"/>
    <w:rsid w:val="0A9B6BF5"/>
    <w:rsid w:val="0A9E5B2C"/>
    <w:rsid w:val="0AA40CFE"/>
    <w:rsid w:val="0AA50074"/>
    <w:rsid w:val="0AAB401F"/>
    <w:rsid w:val="0AB329A9"/>
    <w:rsid w:val="0ABA55D8"/>
    <w:rsid w:val="0AC23AEF"/>
    <w:rsid w:val="0ACD4245"/>
    <w:rsid w:val="0AD57FD6"/>
    <w:rsid w:val="0AD84FAB"/>
    <w:rsid w:val="0ADA5603"/>
    <w:rsid w:val="0ADD7B55"/>
    <w:rsid w:val="0B0569D0"/>
    <w:rsid w:val="0B110AC0"/>
    <w:rsid w:val="0B1157EF"/>
    <w:rsid w:val="0B155EAD"/>
    <w:rsid w:val="0B1765E0"/>
    <w:rsid w:val="0B1C1D7C"/>
    <w:rsid w:val="0B1D3582"/>
    <w:rsid w:val="0B22066E"/>
    <w:rsid w:val="0B2643BE"/>
    <w:rsid w:val="0B2D66EE"/>
    <w:rsid w:val="0B37588D"/>
    <w:rsid w:val="0B3F2432"/>
    <w:rsid w:val="0B4D5218"/>
    <w:rsid w:val="0B5C18DB"/>
    <w:rsid w:val="0B5C42B3"/>
    <w:rsid w:val="0B5F215C"/>
    <w:rsid w:val="0B605DE1"/>
    <w:rsid w:val="0B622E13"/>
    <w:rsid w:val="0B651A68"/>
    <w:rsid w:val="0B717521"/>
    <w:rsid w:val="0B882EA9"/>
    <w:rsid w:val="0B884E90"/>
    <w:rsid w:val="0B892782"/>
    <w:rsid w:val="0B936E39"/>
    <w:rsid w:val="0B9C0905"/>
    <w:rsid w:val="0B9E13B0"/>
    <w:rsid w:val="0BB02C8B"/>
    <w:rsid w:val="0BB2460A"/>
    <w:rsid w:val="0BB41CFB"/>
    <w:rsid w:val="0BB53F3C"/>
    <w:rsid w:val="0BB96A2D"/>
    <w:rsid w:val="0BC739F0"/>
    <w:rsid w:val="0BCD095B"/>
    <w:rsid w:val="0BD21910"/>
    <w:rsid w:val="0BDA3782"/>
    <w:rsid w:val="0BDB5584"/>
    <w:rsid w:val="0BE03DAA"/>
    <w:rsid w:val="0BE17727"/>
    <w:rsid w:val="0BEC55E4"/>
    <w:rsid w:val="0BF427F9"/>
    <w:rsid w:val="0C0B2ABC"/>
    <w:rsid w:val="0C0C632D"/>
    <w:rsid w:val="0C120111"/>
    <w:rsid w:val="0C12447E"/>
    <w:rsid w:val="0C1D0A79"/>
    <w:rsid w:val="0C2C1AFF"/>
    <w:rsid w:val="0C37145B"/>
    <w:rsid w:val="0C3946F8"/>
    <w:rsid w:val="0C3B7949"/>
    <w:rsid w:val="0C3C0AB0"/>
    <w:rsid w:val="0C52301A"/>
    <w:rsid w:val="0C573449"/>
    <w:rsid w:val="0C576E02"/>
    <w:rsid w:val="0C6038EF"/>
    <w:rsid w:val="0C654C73"/>
    <w:rsid w:val="0C663BE3"/>
    <w:rsid w:val="0C663CA8"/>
    <w:rsid w:val="0C684520"/>
    <w:rsid w:val="0C744A34"/>
    <w:rsid w:val="0C751214"/>
    <w:rsid w:val="0C767881"/>
    <w:rsid w:val="0C780533"/>
    <w:rsid w:val="0C780F1E"/>
    <w:rsid w:val="0C85742B"/>
    <w:rsid w:val="0C866066"/>
    <w:rsid w:val="0C8726EC"/>
    <w:rsid w:val="0C873353"/>
    <w:rsid w:val="0C87344F"/>
    <w:rsid w:val="0C885C99"/>
    <w:rsid w:val="0C8B4B61"/>
    <w:rsid w:val="0C9A4387"/>
    <w:rsid w:val="0C9D3F03"/>
    <w:rsid w:val="0C9D474E"/>
    <w:rsid w:val="0CA1546A"/>
    <w:rsid w:val="0CA4660D"/>
    <w:rsid w:val="0CA46672"/>
    <w:rsid w:val="0CA92BAC"/>
    <w:rsid w:val="0CB06DD3"/>
    <w:rsid w:val="0CB471A1"/>
    <w:rsid w:val="0CB90F2E"/>
    <w:rsid w:val="0CBB5A0F"/>
    <w:rsid w:val="0CBB7EBC"/>
    <w:rsid w:val="0CCD3B1C"/>
    <w:rsid w:val="0CE245F1"/>
    <w:rsid w:val="0CE4001E"/>
    <w:rsid w:val="0CF66745"/>
    <w:rsid w:val="0D0213CD"/>
    <w:rsid w:val="0D04575D"/>
    <w:rsid w:val="0D0612B8"/>
    <w:rsid w:val="0D066A9C"/>
    <w:rsid w:val="0D0714BC"/>
    <w:rsid w:val="0D136EF9"/>
    <w:rsid w:val="0D1A52C8"/>
    <w:rsid w:val="0D1C1D16"/>
    <w:rsid w:val="0D202C1F"/>
    <w:rsid w:val="0D21615D"/>
    <w:rsid w:val="0D2454BF"/>
    <w:rsid w:val="0D2767B5"/>
    <w:rsid w:val="0D3374BB"/>
    <w:rsid w:val="0D3E327E"/>
    <w:rsid w:val="0D432A3E"/>
    <w:rsid w:val="0D480AA9"/>
    <w:rsid w:val="0D5800C7"/>
    <w:rsid w:val="0D5B6E86"/>
    <w:rsid w:val="0D604B9B"/>
    <w:rsid w:val="0D6A353C"/>
    <w:rsid w:val="0D7C0CA1"/>
    <w:rsid w:val="0D826C81"/>
    <w:rsid w:val="0D904522"/>
    <w:rsid w:val="0D976014"/>
    <w:rsid w:val="0DA060E8"/>
    <w:rsid w:val="0DA271EA"/>
    <w:rsid w:val="0DA57AAE"/>
    <w:rsid w:val="0DB76EF8"/>
    <w:rsid w:val="0DBC1E48"/>
    <w:rsid w:val="0DCE36F3"/>
    <w:rsid w:val="0DD208DC"/>
    <w:rsid w:val="0DD621E4"/>
    <w:rsid w:val="0DDD2372"/>
    <w:rsid w:val="0DDE1317"/>
    <w:rsid w:val="0DE55D4A"/>
    <w:rsid w:val="0DEE77C3"/>
    <w:rsid w:val="0DF0225F"/>
    <w:rsid w:val="0DF367C2"/>
    <w:rsid w:val="0DFC48AF"/>
    <w:rsid w:val="0DFF2594"/>
    <w:rsid w:val="0E0313B1"/>
    <w:rsid w:val="0E062A96"/>
    <w:rsid w:val="0E0D1A47"/>
    <w:rsid w:val="0E176FCD"/>
    <w:rsid w:val="0E1C0C6C"/>
    <w:rsid w:val="0E1E66C7"/>
    <w:rsid w:val="0E281319"/>
    <w:rsid w:val="0E3217E8"/>
    <w:rsid w:val="0E387AA5"/>
    <w:rsid w:val="0E3F0E9A"/>
    <w:rsid w:val="0E400D03"/>
    <w:rsid w:val="0E485C9B"/>
    <w:rsid w:val="0E5E2B07"/>
    <w:rsid w:val="0E771E51"/>
    <w:rsid w:val="0E796EA0"/>
    <w:rsid w:val="0E7A2A61"/>
    <w:rsid w:val="0E7A7F96"/>
    <w:rsid w:val="0E7C0762"/>
    <w:rsid w:val="0E7F0864"/>
    <w:rsid w:val="0E804008"/>
    <w:rsid w:val="0E8118C0"/>
    <w:rsid w:val="0E94480A"/>
    <w:rsid w:val="0E972455"/>
    <w:rsid w:val="0E9A17E3"/>
    <w:rsid w:val="0EA11114"/>
    <w:rsid w:val="0EA35AC0"/>
    <w:rsid w:val="0EA81843"/>
    <w:rsid w:val="0EB34961"/>
    <w:rsid w:val="0EB35C8A"/>
    <w:rsid w:val="0EB9447E"/>
    <w:rsid w:val="0EC11B24"/>
    <w:rsid w:val="0EC468A2"/>
    <w:rsid w:val="0ECA0784"/>
    <w:rsid w:val="0ECC4066"/>
    <w:rsid w:val="0ECE7C5F"/>
    <w:rsid w:val="0ED12B32"/>
    <w:rsid w:val="0EDA48C8"/>
    <w:rsid w:val="0EF75D05"/>
    <w:rsid w:val="0EF957FE"/>
    <w:rsid w:val="0EFE2ACB"/>
    <w:rsid w:val="0F0D240A"/>
    <w:rsid w:val="0F0E2F3A"/>
    <w:rsid w:val="0F12247A"/>
    <w:rsid w:val="0F1D0ECD"/>
    <w:rsid w:val="0F3452E0"/>
    <w:rsid w:val="0F364BC2"/>
    <w:rsid w:val="0F3A630E"/>
    <w:rsid w:val="0F3B1C05"/>
    <w:rsid w:val="0F455F85"/>
    <w:rsid w:val="0F49564D"/>
    <w:rsid w:val="0F4D1918"/>
    <w:rsid w:val="0F5075AE"/>
    <w:rsid w:val="0F521719"/>
    <w:rsid w:val="0F571705"/>
    <w:rsid w:val="0F584757"/>
    <w:rsid w:val="0F6A1108"/>
    <w:rsid w:val="0F704CEF"/>
    <w:rsid w:val="0F72376B"/>
    <w:rsid w:val="0F7514AB"/>
    <w:rsid w:val="0F7C4621"/>
    <w:rsid w:val="0F7D786D"/>
    <w:rsid w:val="0F7E4DAF"/>
    <w:rsid w:val="0F7E6AED"/>
    <w:rsid w:val="0F80243B"/>
    <w:rsid w:val="0F842AF1"/>
    <w:rsid w:val="0F8E6521"/>
    <w:rsid w:val="0F9A3D44"/>
    <w:rsid w:val="0FA26E81"/>
    <w:rsid w:val="0FA615E1"/>
    <w:rsid w:val="0FAD0019"/>
    <w:rsid w:val="0FAD3299"/>
    <w:rsid w:val="0FB261C9"/>
    <w:rsid w:val="0FB270DE"/>
    <w:rsid w:val="0FB31343"/>
    <w:rsid w:val="0FC12836"/>
    <w:rsid w:val="0FD65EC3"/>
    <w:rsid w:val="0FD95333"/>
    <w:rsid w:val="0FEC322B"/>
    <w:rsid w:val="0FEC6EF6"/>
    <w:rsid w:val="10045EE6"/>
    <w:rsid w:val="100C1580"/>
    <w:rsid w:val="100D3B17"/>
    <w:rsid w:val="10154FE6"/>
    <w:rsid w:val="1023666E"/>
    <w:rsid w:val="1035409F"/>
    <w:rsid w:val="1035503C"/>
    <w:rsid w:val="1037078D"/>
    <w:rsid w:val="103806C3"/>
    <w:rsid w:val="103A7991"/>
    <w:rsid w:val="104052A4"/>
    <w:rsid w:val="10413A4E"/>
    <w:rsid w:val="10427C9D"/>
    <w:rsid w:val="10462479"/>
    <w:rsid w:val="104B2D15"/>
    <w:rsid w:val="10545462"/>
    <w:rsid w:val="10613177"/>
    <w:rsid w:val="10674DB0"/>
    <w:rsid w:val="106D678B"/>
    <w:rsid w:val="107374A2"/>
    <w:rsid w:val="10746083"/>
    <w:rsid w:val="10774625"/>
    <w:rsid w:val="107B4809"/>
    <w:rsid w:val="10836F99"/>
    <w:rsid w:val="10886883"/>
    <w:rsid w:val="108A2129"/>
    <w:rsid w:val="108F3491"/>
    <w:rsid w:val="10924B2D"/>
    <w:rsid w:val="10953B42"/>
    <w:rsid w:val="109E7044"/>
    <w:rsid w:val="10B7486E"/>
    <w:rsid w:val="10B95175"/>
    <w:rsid w:val="10C55976"/>
    <w:rsid w:val="10CC5735"/>
    <w:rsid w:val="10D679E0"/>
    <w:rsid w:val="10E73223"/>
    <w:rsid w:val="10FA45D2"/>
    <w:rsid w:val="11024527"/>
    <w:rsid w:val="1105524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27763"/>
    <w:rsid w:val="11847341"/>
    <w:rsid w:val="11996649"/>
    <w:rsid w:val="119A28E3"/>
    <w:rsid w:val="11AA61BD"/>
    <w:rsid w:val="11AC7561"/>
    <w:rsid w:val="11AE6531"/>
    <w:rsid w:val="11AF439E"/>
    <w:rsid w:val="11B50817"/>
    <w:rsid w:val="11B66269"/>
    <w:rsid w:val="11BA0839"/>
    <w:rsid w:val="11CA3974"/>
    <w:rsid w:val="11D00689"/>
    <w:rsid w:val="11E4369D"/>
    <w:rsid w:val="11EC77D0"/>
    <w:rsid w:val="11EE4F27"/>
    <w:rsid w:val="11F267E8"/>
    <w:rsid w:val="11F427FC"/>
    <w:rsid w:val="12066C25"/>
    <w:rsid w:val="120E4772"/>
    <w:rsid w:val="1210456D"/>
    <w:rsid w:val="12134828"/>
    <w:rsid w:val="12143598"/>
    <w:rsid w:val="121729B6"/>
    <w:rsid w:val="12220941"/>
    <w:rsid w:val="122A6318"/>
    <w:rsid w:val="122C6138"/>
    <w:rsid w:val="123616D6"/>
    <w:rsid w:val="12396B0A"/>
    <w:rsid w:val="123A52C3"/>
    <w:rsid w:val="123E0CDC"/>
    <w:rsid w:val="125139EE"/>
    <w:rsid w:val="125A02CC"/>
    <w:rsid w:val="12721E0B"/>
    <w:rsid w:val="127222F3"/>
    <w:rsid w:val="127D422E"/>
    <w:rsid w:val="12845278"/>
    <w:rsid w:val="12863AEA"/>
    <w:rsid w:val="128C036A"/>
    <w:rsid w:val="128E70AD"/>
    <w:rsid w:val="129D41B7"/>
    <w:rsid w:val="12A45BB3"/>
    <w:rsid w:val="12AC51B9"/>
    <w:rsid w:val="12B1068C"/>
    <w:rsid w:val="12B5075C"/>
    <w:rsid w:val="12BC3C60"/>
    <w:rsid w:val="12C667C3"/>
    <w:rsid w:val="12C77089"/>
    <w:rsid w:val="12CB3610"/>
    <w:rsid w:val="12CB4026"/>
    <w:rsid w:val="12D16C9D"/>
    <w:rsid w:val="12D20ECB"/>
    <w:rsid w:val="12D93C20"/>
    <w:rsid w:val="12DD694C"/>
    <w:rsid w:val="12DF0C5E"/>
    <w:rsid w:val="12E302DA"/>
    <w:rsid w:val="12EC215C"/>
    <w:rsid w:val="12EE6AFD"/>
    <w:rsid w:val="12F538D3"/>
    <w:rsid w:val="12F75E76"/>
    <w:rsid w:val="12F85F0D"/>
    <w:rsid w:val="12F97513"/>
    <w:rsid w:val="12FB7F3D"/>
    <w:rsid w:val="130611C7"/>
    <w:rsid w:val="1306326A"/>
    <w:rsid w:val="130C7624"/>
    <w:rsid w:val="131046DE"/>
    <w:rsid w:val="131B2229"/>
    <w:rsid w:val="131B463A"/>
    <w:rsid w:val="131D12BF"/>
    <w:rsid w:val="131D5DAE"/>
    <w:rsid w:val="131E5CE7"/>
    <w:rsid w:val="13217B01"/>
    <w:rsid w:val="132625C2"/>
    <w:rsid w:val="132A7435"/>
    <w:rsid w:val="13322AD3"/>
    <w:rsid w:val="133B5756"/>
    <w:rsid w:val="133E50CE"/>
    <w:rsid w:val="134904A6"/>
    <w:rsid w:val="134966AC"/>
    <w:rsid w:val="135845C3"/>
    <w:rsid w:val="135F5E4E"/>
    <w:rsid w:val="137F1B10"/>
    <w:rsid w:val="1382164E"/>
    <w:rsid w:val="13913843"/>
    <w:rsid w:val="13920C1D"/>
    <w:rsid w:val="139354E0"/>
    <w:rsid w:val="13962CE5"/>
    <w:rsid w:val="13A62921"/>
    <w:rsid w:val="13AB3B97"/>
    <w:rsid w:val="13B35E26"/>
    <w:rsid w:val="13B42C01"/>
    <w:rsid w:val="13B445AD"/>
    <w:rsid w:val="13B6486D"/>
    <w:rsid w:val="13B66BD2"/>
    <w:rsid w:val="13BF66BA"/>
    <w:rsid w:val="13CA31CB"/>
    <w:rsid w:val="13CD1105"/>
    <w:rsid w:val="13D27C86"/>
    <w:rsid w:val="13D546F6"/>
    <w:rsid w:val="13D765AD"/>
    <w:rsid w:val="13DC36E2"/>
    <w:rsid w:val="13EC1F1A"/>
    <w:rsid w:val="13EC734F"/>
    <w:rsid w:val="13F22B81"/>
    <w:rsid w:val="13FD4FCC"/>
    <w:rsid w:val="13FE285E"/>
    <w:rsid w:val="1410395F"/>
    <w:rsid w:val="141624C3"/>
    <w:rsid w:val="14220CA7"/>
    <w:rsid w:val="142E6CAD"/>
    <w:rsid w:val="143802F8"/>
    <w:rsid w:val="144442DA"/>
    <w:rsid w:val="144C6544"/>
    <w:rsid w:val="14586750"/>
    <w:rsid w:val="1459554D"/>
    <w:rsid w:val="14812D74"/>
    <w:rsid w:val="14836C15"/>
    <w:rsid w:val="14862300"/>
    <w:rsid w:val="148C00A0"/>
    <w:rsid w:val="148D3653"/>
    <w:rsid w:val="149E0A7B"/>
    <w:rsid w:val="14A82A63"/>
    <w:rsid w:val="14A86EA4"/>
    <w:rsid w:val="14AC358C"/>
    <w:rsid w:val="14B37FA7"/>
    <w:rsid w:val="14B76730"/>
    <w:rsid w:val="14C767C8"/>
    <w:rsid w:val="14DE753E"/>
    <w:rsid w:val="14E65BBC"/>
    <w:rsid w:val="14F51028"/>
    <w:rsid w:val="14F549EC"/>
    <w:rsid w:val="14F92549"/>
    <w:rsid w:val="14FB4950"/>
    <w:rsid w:val="14FD4800"/>
    <w:rsid w:val="14FE45D8"/>
    <w:rsid w:val="14FF7362"/>
    <w:rsid w:val="150650CB"/>
    <w:rsid w:val="150E6B8B"/>
    <w:rsid w:val="15100BA9"/>
    <w:rsid w:val="15157DF4"/>
    <w:rsid w:val="151B0462"/>
    <w:rsid w:val="151C45D8"/>
    <w:rsid w:val="15290336"/>
    <w:rsid w:val="15297BD7"/>
    <w:rsid w:val="15303F74"/>
    <w:rsid w:val="155424D6"/>
    <w:rsid w:val="155605E9"/>
    <w:rsid w:val="155B1745"/>
    <w:rsid w:val="155F651D"/>
    <w:rsid w:val="15655F19"/>
    <w:rsid w:val="15707E2F"/>
    <w:rsid w:val="157348EB"/>
    <w:rsid w:val="157500D8"/>
    <w:rsid w:val="15787FE5"/>
    <w:rsid w:val="157E21FE"/>
    <w:rsid w:val="157E5AA6"/>
    <w:rsid w:val="157F65FC"/>
    <w:rsid w:val="1587411C"/>
    <w:rsid w:val="159C57E1"/>
    <w:rsid w:val="15A80FDC"/>
    <w:rsid w:val="15AA7A19"/>
    <w:rsid w:val="15AC5259"/>
    <w:rsid w:val="15AE02B1"/>
    <w:rsid w:val="15AE46FA"/>
    <w:rsid w:val="15AE5475"/>
    <w:rsid w:val="15B06B12"/>
    <w:rsid w:val="15B75136"/>
    <w:rsid w:val="15BE3D9D"/>
    <w:rsid w:val="15C61DCD"/>
    <w:rsid w:val="15D4474D"/>
    <w:rsid w:val="15D7597F"/>
    <w:rsid w:val="15DF5EEC"/>
    <w:rsid w:val="160C437B"/>
    <w:rsid w:val="161033BE"/>
    <w:rsid w:val="16160429"/>
    <w:rsid w:val="161C3234"/>
    <w:rsid w:val="163562A4"/>
    <w:rsid w:val="1641433F"/>
    <w:rsid w:val="16426258"/>
    <w:rsid w:val="164B2B96"/>
    <w:rsid w:val="164D6264"/>
    <w:rsid w:val="165511E0"/>
    <w:rsid w:val="165C4863"/>
    <w:rsid w:val="165F5560"/>
    <w:rsid w:val="1663476A"/>
    <w:rsid w:val="166C0D1B"/>
    <w:rsid w:val="166E1C29"/>
    <w:rsid w:val="16727B66"/>
    <w:rsid w:val="167344C7"/>
    <w:rsid w:val="16780DA5"/>
    <w:rsid w:val="16794785"/>
    <w:rsid w:val="168119E9"/>
    <w:rsid w:val="16853FE3"/>
    <w:rsid w:val="168A3277"/>
    <w:rsid w:val="168F5C07"/>
    <w:rsid w:val="1695742C"/>
    <w:rsid w:val="169D1595"/>
    <w:rsid w:val="16A65B92"/>
    <w:rsid w:val="16AA56E3"/>
    <w:rsid w:val="16AC6E85"/>
    <w:rsid w:val="16AD0A57"/>
    <w:rsid w:val="16BA18A0"/>
    <w:rsid w:val="16BD160C"/>
    <w:rsid w:val="16BE109A"/>
    <w:rsid w:val="16C2724F"/>
    <w:rsid w:val="16C41FCF"/>
    <w:rsid w:val="16D359B1"/>
    <w:rsid w:val="16DC6856"/>
    <w:rsid w:val="16DF05D1"/>
    <w:rsid w:val="16E7220A"/>
    <w:rsid w:val="16F7773E"/>
    <w:rsid w:val="16FD7F89"/>
    <w:rsid w:val="170133DA"/>
    <w:rsid w:val="170259E1"/>
    <w:rsid w:val="17026088"/>
    <w:rsid w:val="170353FD"/>
    <w:rsid w:val="17056BCC"/>
    <w:rsid w:val="171053FC"/>
    <w:rsid w:val="1715378E"/>
    <w:rsid w:val="17177592"/>
    <w:rsid w:val="17256955"/>
    <w:rsid w:val="172B6CEB"/>
    <w:rsid w:val="17343071"/>
    <w:rsid w:val="17350245"/>
    <w:rsid w:val="17382580"/>
    <w:rsid w:val="174D3983"/>
    <w:rsid w:val="17595246"/>
    <w:rsid w:val="175E4288"/>
    <w:rsid w:val="175F6489"/>
    <w:rsid w:val="17652ACF"/>
    <w:rsid w:val="176C704A"/>
    <w:rsid w:val="17701653"/>
    <w:rsid w:val="177653C5"/>
    <w:rsid w:val="17844C56"/>
    <w:rsid w:val="179559A6"/>
    <w:rsid w:val="17957384"/>
    <w:rsid w:val="17A30F12"/>
    <w:rsid w:val="17BA48D6"/>
    <w:rsid w:val="17C0378A"/>
    <w:rsid w:val="17C535A1"/>
    <w:rsid w:val="17C612DB"/>
    <w:rsid w:val="17CC1D1C"/>
    <w:rsid w:val="17CD5EE0"/>
    <w:rsid w:val="17D47D7C"/>
    <w:rsid w:val="17D77CA7"/>
    <w:rsid w:val="17DD34AB"/>
    <w:rsid w:val="17F223D1"/>
    <w:rsid w:val="17FC272C"/>
    <w:rsid w:val="17FE0B0A"/>
    <w:rsid w:val="17FE0C9F"/>
    <w:rsid w:val="17FF3C9D"/>
    <w:rsid w:val="180A527C"/>
    <w:rsid w:val="18120F53"/>
    <w:rsid w:val="18157481"/>
    <w:rsid w:val="181B3A35"/>
    <w:rsid w:val="18235E85"/>
    <w:rsid w:val="18331DAD"/>
    <w:rsid w:val="183E4121"/>
    <w:rsid w:val="18420253"/>
    <w:rsid w:val="18450A52"/>
    <w:rsid w:val="18533B98"/>
    <w:rsid w:val="18570CA0"/>
    <w:rsid w:val="185D6F21"/>
    <w:rsid w:val="1863315A"/>
    <w:rsid w:val="186B15D6"/>
    <w:rsid w:val="186C1DBE"/>
    <w:rsid w:val="186C5153"/>
    <w:rsid w:val="186E738D"/>
    <w:rsid w:val="187640ED"/>
    <w:rsid w:val="18804AA7"/>
    <w:rsid w:val="188C4F53"/>
    <w:rsid w:val="18A16B9A"/>
    <w:rsid w:val="18A94FC3"/>
    <w:rsid w:val="18AB1905"/>
    <w:rsid w:val="18AC724D"/>
    <w:rsid w:val="18AF5199"/>
    <w:rsid w:val="18AF7C5B"/>
    <w:rsid w:val="18B41496"/>
    <w:rsid w:val="18B417E1"/>
    <w:rsid w:val="18C9246D"/>
    <w:rsid w:val="18CC75E7"/>
    <w:rsid w:val="18D85383"/>
    <w:rsid w:val="18D979C0"/>
    <w:rsid w:val="18DE1E44"/>
    <w:rsid w:val="18E22FAB"/>
    <w:rsid w:val="18E67034"/>
    <w:rsid w:val="18E872D7"/>
    <w:rsid w:val="18EA68A3"/>
    <w:rsid w:val="18F06558"/>
    <w:rsid w:val="18F3471F"/>
    <w:rsid w:val="18F931E6"/>
    <w:rsid w:val="18FA042B"/>
    <w:rsid w:val="18FE4771"/>
    <w:rsid w:val="190461C6"/>
    <w:rsid w:val="19046384"/>
    <w:rsid w:val="19065891"/>
    <w:rsid w:val="190A1445"/>
    <w:rsid w:val="191111C7"/>
    <w:rsid w:val="19191340"/>
    <w:rsid w:val="191A7BCC"/>
    <w:rsid w:val="19200B97"/>
    <w:rsid w:val="19254AA6"/>
    <w:rsid w:val="19267DCF"/>
    <w:rsid w:val="19287BE3"/>
    <w:rsid w:val="19296EAC"/>
    <w:rsid w:val="192A5704"/>
    <w:rsid w:val="192C599A"/>
    <w:rsid w:val="193774B0"/>
    <w:rsid w:val="19464CCE"/>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8374F4"/>
    <w:rsid w:val="1989194D"/>
    <w:rsid w:val="19894C83"/>
    <w:rsid w:val="19A7296F"/>
    <w:rsid w:val="19B94DE5"/>
    <w:rsid w:val="19BB7983"/>
    <w:rsid w:val="19CA4702"/>
    <w:rsid w:val="19D76F77"/>
    <w:rsid w:val="19DE7440"/>
    <w:rsid w:val="19ED386F"/>
    <w:rsid w:val="19FF1298"/>
    <w:rsid w:val="1A045B87"/>
    <w:rsid w:val="1A210157"/>
    <w:rsid w:val="1A325891"/>
    <w:rsid w:val="1A484A02"/>
    <w:rsid w:val="1A4A024C"/>
    <w:rsid w:val="1A4D1CE1"/>
    <w:rsid w:val="1A5760FC"/>
    <w:rsid w:val="1A5B0C0F"/>
    <w:rsid w:val="1A5D6756"/>
    <w:rsid w:val="1A5F7253"/>
    <w:rsid w:val="1A6A0EEA"/>
    <w:rsid w:val="1A6D22C8"/>
    <w:rsid w:val="1A725418"/>
    <w:rsid w:val="1A7A2EF9"/>
    <w:rsid w:val="1A7F4EDC"/>
    <w:rsid w:val="1A813E2C"/>
    <w:rsid w:val="1A8F2FDB"/>
    <w:rsid w:val="1A960E81"/>
    <w:rsid w:val="1A972C69"/>
    <w:rsid w:val="1A9A0C93"/>
    <w:rsid w:val="1AA73970"/>
    <w:rsid w:val="1AB02AE4"/>
    <w:rsid w:val="1AB359A1"/>
    <w:rsid w:val="1ABD31B9"/>
    <w:rsid w:val="1ABF3A95"/>
    <w:rsid w:val="1AC91D4C"/>
    <w:rsid w:val="1ACE2A77"/>
    <w:rsid w:val="1AD02CBA"/>
    <w:rsid w:val="1AD03069"/>
    <w:rsid w:val="1AD55B02"/>
    <w:rsid w:val="1AD71252"/>
    <w:rsid w:val="1AD974AF"/>
    <w:rsid w:val="1ADA6731"/>
    <w:rsid w:val="1ADC2627"/>
    <w:rsid w:val="1AF06C95"/>
    <w:rsid w:val="1AF2380D"/>
    <w:rsid w:val="1AF34AE5"/>
    <w:rsid w:val="1AF3712C"/>
    <w:rsid w:val="1AF84C8C"/>
    <w:rsid w:val="1AFA1534"/>
    <w:rsid w:val="1AFE2079"/>
    <w:rsid w:val="1B00502A"/>
    <w:rsid w:val="1B0646EE"/>
    <w:rsid w:val="1B08241D"/>
    <w:rsid w:val="1B082CC4"/>
    <w:rsid w:val="1B0B3B20"/>
    <w:rsid w:val="1B113A19"/>
    <w:rsid w:val="1B1613A0"/>
    <w:rsid w:val="1B2A7E36"/>
    <w:rsid w:val="1B2F42C3"/>
    <w:rsid w:val="1B324397"/>
    <w:rsid w:val="1B372EB9"/>
    <w:rsid w:val="1B39636C"/>
    <w:rsid w:val="1B40005E"/>
    <w:rsid w:val="1B4268B4"/>
    <w:rsid w:val="1B427936"/>
    <w:rsid w:val="1B5D3106"/>
    <w:rsid w:val="1B6513EE"/>
    <w:rsid w:val="1B7906CE"/>
    <w:rsid w:val="1B7D07F3"/>
    <w:rsid w:val="1B831B2B"/>
    <w:rsid w:val="1B944685"/>
    <w:rsid w:val="1B9A07CB"/>
    <w:rsid w:val="1BA258AE"/>
    <w:rsid w:val="1BA57F07"/>
    <w:rsid w:val="1BAA3905"/>
    <w:rsid w:val="1BAB7953"/>
    <w:rsid w:val="1BB01F6E"/>
    <w:rsid w:val="1BB81DD8"/>
    <w:rsid w:val="1BB848C7"/>
    <w:rsid w:val="1BB86F3A"/>
    <w:rsid w:val="1BCA7505"/>
    <w:rsid w:val="1BD91032"/>
    <w:rsid w:val="1BEF7D4B"/>
    <w:rsid w:val="1BF768CD"/>
    <w:rsid w:val="1BF92025"/>
    <w:rsid w:val="1BF9326D"/>
    <w:rsid w:val="1C036FDA"/>
    <w:rsid w:val="1C05212A"/>
    <w:rsid w:val="1C0730F3"/>
    <w:rsid w:val="1C08111C"/>
    <w:rsid w:val="1C0B33CB"/>
    <w:rsid w:val="1C0D0258"/>
    <w:rsid w:val="1C0D46E2"/>
    <w:rsid w:val="1C0D60C9"/>
    <w:rsid w:val="1C191CF6"/>
    <w:rsid w:val="1C206F70"/>
    <w:rsid w:val="1C33796F"/>
    <w:rsid w:val="1C341EE3"/>
    <w:rsid w:val="1C37448F"/>
    <w:rsid w:val="1C441419"/>
    <w:rsid w:val="1C4774DD"/>
    <w:rsid w:val="1C4A45C4"/>
    <w:rsid w:val="1C4B3310"/>
    <w:rsid w:val="1C561E66"/>
    <w:rsid w:val="1C5661AB"/>
    <w:rsid w:val="1C5E3742"/>
    <w:rsid w:val="1C5F23B1"/>
    <w:rsid w:val="1C660240"/>
    <w:rsid w:val="1C663D30"/>
    <w:rsid w:val="1C6825F5"/>
    <w:rsid w:val="1C6D4144"/>
    <w:rsid w:val="1C726EC3"/>
    <w:rsid w:val="1C793EB9"/>
    <w:rsid w:val="1C807142"/>
    <w:rsid w:val="1C90266F"/>
    <w:rsid w:val="1C9A166E"/>
    <w:rsid w:val="1CA16CCE"/>
    <w:rsid w:val="1CAA7318"/>
    <w:rsid w:val="1CAD2752"/>
    <w:rsid w:val="1CB702E9"/>
    <w:rsid w:val="1CBA5B32"/>
    <w:rsid w:val="1CBC3A4C"/>
    <w:rsid w:val="1CBE0F85"/>
    <w:rsid w:val="1CBE5026"/>
    <w:rsid w:val="1CC77B0D"/>
    <w:rsid w:val="1CCD6D74"/>
    <w:rsid w:val="1CD97139"/>
    <w:rsid w:val="1CE13063"/>
    <w:rsid w:val="1CE2616E"/>
    <w:rsid w:val="1CF333A5"/>
    <w:rsid w:val="1D0166B5"/>
    <w:rsid w:val="1D023336"/>
    <w:rsid w:val="1D031DDA"/>
    <w:rsid w:val="1D0B731D"/>
    <w:rsid w:val="1D1D6A68"/>
    <w:rsid w:val="1D1F1D0C"/>
    <w:rsid w:val="1D2054C4"/>
    <w:rsid w:val="1D24658B"/>
    <w:rsid w:val="1D2E77E8"/>
    <w:rsid w:val="1D31028A"/>
    <w:rsid w:val="1D4969F4"/>
    <w:rsid w:val="1D4C117F"/>
    <w:rsid w:val="1D513E68"/>
    <w:rsid w:val="1D563E2F"/>
    <w:rsid w:val="1D5A17CD"/>
    <w:rsid w:val="1D5C1BF6"/>
    <w:rsid w:val="1D6033FE"/>
    <w:rsid w:val="1D6079DA"/>
    <w:rsid w:val="1D684015"/>
    <w:rsid w:val="1D6F79AF"/>
    <w:rsid w:val="1D7C6E19"/>
    <w:rsid w:val="1D7E2FA4"/>
    <w:rsid w:val="1D8F5B72"/>
    <w:rsid w:val="1D8F6826"/>
    <w:rsid w:val="1D9C5DA0"/>
    <w:rsid w:val="1D9C7126"/>
    <w:rsid w:val="1D9F462B"/>
    <w:rsid w:val="1DA265B5"/>
    <w:rsid w:val="1DB26ED0"/>
    <w:rsid w:val="1DB835A9"/>
    <w:rsid w:val="1DB9215E"/>
    <w:rsid w:val="1DBE3CD7"/>
    <w:rsid w:val="1DC07A05"/>
    <w:rsid w:val="1DC603E1"/>
    <w:rsid w:val="1DEC45ED"/>
    <w:rsid w:val="1DF26AFF"/>
    <w:rsid w:val="1DF2745E"/>
    <w:rsid w:val="1E093D7D"/>
    <w:rsid w:val="1E1D7E95"/>
    <w:rsid w:val="1E201A27"/>
    <w:rsid w:val="1E224747"/>
    <w:rsid w:val="1E304B88"/>
    <w:rsid w:val="1E3E02E7"/>
    <w:rsid w:val="1E3F2459"/>
    <w:rsid w:val="1E6246BE"/>
    <w:rsid w:val="1E6703B7"/>
    <w:rsid w:val="1E680B85"/>
    <w:rsid w:val="1E6B2336"/>
    <w:rsid w:val="1E7845CD"/>
    <w:rsid w:val="1E8028A0"/>
    <w:rsid w:val="1E8B032D"/>
    <w:rsid w:val="1E8B7AD0"/>
    <w:rsid w:val="1E8E3E30"/>
    <w:rsid w:val="1E9D4737"/>
    <w:rsid w:val="1E9D55A8"/>
    <w:rsid w:val="1EA13E87"/>
    <w:rsid w:val="1EAF4E87"/>
    <w:rsid w:val="1EB50D64"/>
    <w:rsid w:val="1EC11B39"/>
    <w:rsid w:val="1EC80437"/>
    <w:rsid w:val="1ECA245F"/>
    <w:rsid w:val="1ED15DFD"/>
    <w:rsid w:val="1ED874EC"/>
    <w:rsid w:val="1ED94E25"/>
    <w:rsid w:val="1EDA7F91"/>
    <w:rsid w:val="1EDB6C5F"/>
    <w:rsid w:val="1EE01D66"/>
    <w:rsid w:val="1EE36B24"/>
    <w:rsid w:val="1EE6740D"/>
    <w:rsid w:val="1EEC1621"/>
    <w:rsid w:val="1EED7A29"/>
    <w:rsid w:val="1EFD5911"/>
    <w:rsid w:val="1F0D14F3"/>
    <w:rsid w:val="1F141EF2"/>
    <w:rsid w:val="1F303EA7"/>
    <w:rsid w:val="1F30637A"/>
    <w:rsid w:val="1F3111CE"/>
    <w:rsid w:val="1F3C6AF7"/>
    <w:rsid w:val="1F405E44"/>
    <w:rsid w:val="1F4A3D83"/>
    <w:rsid w:val="1F4E681F"/>
    <w:rsid w:val="1F5324C1"/>
    <w:rsid w:val="1F561E2A"/>
    <w:rsid w:val="1F5E0475"/>
    <w:rsid w:val="1F5E088A"/>
    <w:rsid w:val="1F661994"/>
    <w:rsid w:val="1F672A0E"/>
    <w:rsid w:val="1F6833F6"/>
    <w:rsid w:val="1F68659A"/>
    <w:rsid w:val="1F7959F4"/>
    <w:rsid w:val="1F7C19E4"/>
    <w:rsid w:val="1F83562C"/>
    <w:rsid w:val="1F8A5F10"/>
    <w:rsid w:val="1FA12A08"/>
    <w:rsid w:val="1FA82FF9"/>
    <w:rsid w:val="1FAC192E"/>
    <w:rsid w:val="1FAD796D"/>
    <w:rsid w:val="1FB260BE"/>
    <w:rsid w:val="1FB54204"/>
    <w:rsid w:val="1FB63655"/>
    <w:rsid w:val="1FB83D7D"/>
    <w:rsid w:val="1FBD7AAE"/>
    <w:rsid w:val="1FBE77B2"/>
    <w:rsid w:val="1FC26AB9"/>
    <w:rsid w:val="1FC46F9E"/>
    <w:rsid w:val="1FC511F0"/>
    <w:rsid w:val="1FC7659B"/>
    <w:rsid w:val="1FD35404"/>
    <w:rsid w:val="1FE045AC"/>
    <w:rsid w:val="1FE76FD3"/>
    <w:rsid w:val="1FE91483"/>
    <w:rsid w:val="1FED166B"/>
    <w:rsid w:val="1FF05FBA"/>
    <w:rsid w:val="1FF2649D"/>
    <w:rsid w:val="2000119F"/>
    <w:rsid w:val="20007200"/>
    <w:rsid w:val="20023827"/>
    <w:rsid w:val="200D53BE"/>
    <w:rsid w:val="20107ED3"/>
    <w:rsid w:val="201359DF"/>
    <w:rsid w:val="20140382"/>
    <w:rsid w:val="201C304F"/>
    <w:rsid w:val="201C690F"/>
    <w:rsid w:val="20275ED1"/>
    <w:rsid w:val="202D7C82"/>
    <w:rsid w:val="2036470B"/>
    <w:rsid w:val="203B1416"/>
    <w:rsid w:val="203C2005"/>
    <w:rsid w:val="204069AE"/>
    <w:rsid w:val="20420995"/>
    <w:rsid w:val="20447B3E"/>
    <w:rsid w:val="204D7AED"/>
    <w:rsid w:val="204F595B"/>
    <w:rsid w:val="206301A7"/>
    <w:rsid w:val="20642E89"/>
    <w:rsid w:val="2067334B"/>
    <w:rsid w:val="206F7CD5"/>
    <w:rsid w:val="20702E42"/>
    <w:rsid w:val="207778B9"/>
    <w:rsid w:val="207E34E5"/>
    <w:rsid w:val="20850EC1"/>
    <w:rsid w:val="20911227"/>
    <w:rsid w:val="20934FE0"/>
    <w:rsid w:val="209A17A4"/>
    <w:rsid w:val="209E715A"/>
    <w:rsid w:val="20A04F89"/>
    <w:rsid w:val="20A70ABE"/>
    <w:rsid w:val="20B836F9"/>
    <w:rsid w:val="20BD741D"/>
    <w:rsid w:val="20BF422E"/>
    <w:rsid w:val="20C01849"/>
    <w:rsid w:val="20C10077"/>
    <w:rsid w:val="20C261C8"/>
    <w:rsid w:val="20C96FD1"/>
    <w:rsid w:val="20CC2666"/>
    <w:rsid w:val="20CC4FD3"/>
    <w:rsid w:val="20CC7651"/>
    <w:rsid w:val="20D562D7"/>
    <w:rsid w:val="20D957D0"/>
    <w:rsid w:val="20DA5281"/>
    <w:rsid w:val="20DB6325"/>
    <w:rsid w:val="20E35BDE"/>
    <w:rsid w:val="20E416D2"/>
    <w:rsid w:val="20E53EA7"/>
    <w:rsid w:val="20E9348D"/>
    <w:rsid w:val="20EB3474"/>
    <w:rsid w:val="20EF451E"/>
    <w:rsid w:val="20F667B9"/>
    <w:rsid w:val="20F90A4D"/>
    <w:rsid w:val="20FB7568"/>
    <w:rsid w:val="21024993"/>
    <w:rsid w:val="21065641"/>
    <w:rsid w:val="210D2CDA"/>
    <w:rsid w:val="211C7EF8"/>
    <w:rsid w:val="212247E5"/>
    <w:rsid w:val="212F6A59"/>
    <w:rsid w:val="21306305"/>
    <w:rsid w:val="21320454"/>
    <w:rsid w:val="21330562"/>
    <w:rsid w:val="213D54AD"/>
    <w:rsid w:val="214169BB"/>
    <w:rsid w:val="2144141D"/>
    <w:rsid w:val="214F4863"/>
    <w:rsid w:val="21504A40"/>
    <w:rsid w:val="215132F6"/>
    <w:rsid w:val="215F7E39"/>
    <w:rsid w:val="2163647D"/>
    <w:rsid w:val="216C54DE"/>
    <w:rsid w:val="216E4800"/>
    <w:rsid w:val="217C7971"/>
    <w:rsid w:val="217D44BC"/>
    <w:rsid w:val="21936BCB"/>
    <w:rsid w:val="219619F8"/>
    <w:rsid w:val="219842E4"/>
    <w:rsid w:val="21997056"/>
    <w:rsid w:val="219B2AEE"/>
    <w:rsid w:val="219D3F2A"/>
    <w:rsid w:val="219D625D"/>
    <w:rsid w:val="21A8667F"/>
    <w:rsid w:val="21AB4F6A"/>
    <w:rsid w:val="21AB77F7"/>
    <w:rsid w:val="21AD30AE"/>
    <w:rsid w:val="21B50781"/>
    <w:rsid w:val="21BF03BC"/>
    <w:rsid w:val="21BF480E"/>
    <w:rsid w:val="21C15CDF"/>
    <w:rsid w:val="21CA711F"/>
    <w:rsid w:val="21CB0E2A"/>
    <w:rsid w:val="21D06D34"/>
    <w:rsid w:val="21D372BD"/>
    <w:rsid w:val="21D47A13"/>
    <w:rsid w:val="21D52CEC"/>
    <w:rsid w:val="21D83EFE"/>
    <w:rsid w:val="21E43FFE"/>
    <w:rsid w:val="21F54612"/>
    <w:rsid w:val="21FF71D8"/>
    <w:rsid w:val="22006C42"/>
    <w:rsid w:val="22021B37"/>
    <w:rsid w:val="2209399D"/>
    <w:rsid w:val="22101F8E"/>
    <w:rsid w:val="221E498F"/>
    <w:rsid w:val="2225227E"/>
    <w:rsid w:val="222E6801"/>
    <w:rsid w:val="222F381A"/>
    <w:rsid w:val="22315922"/>
    <w:rsid w:val="22343124"/>
    <w:rsid w:val="22386AA5"/>
    <w:rsid w:val="22463F09"/>
    <w:rsid w:val="224E39DE"/>
    <w:rsid w:val="224E74D0"/>
    <w:rsid w:val="225C1E49"/>
    <w:rsid w:val="22666377"/>
    <w:rsid w:val="22713317"/>
    <w:rsid w:val="227F5037"/>
    <w:rsid w:val="228041D7"/>
    <w:rsid w:val="228A008B"/>
    <w:rsid w:val="228D63FC"/>
    <w:rsid w:val="229A7E25"/>
    <w:rsid w:val="22A17A46"/>
    <w:rsid w:val="22AA0362"/>
    <w:rsid w:val="22AA773F"/>
    <w:rsid w:val="22B059F5"/>
    <w:rsid w:val="22B06BDB"/>
    <w:rsid w:val="22B63FB8"/>
    <w:rsid w:val="22BA2D5C"/>
    <w:rsid w:val="22BC7DF2"/>
    <w:rsid w:val="22BD19A6"/>
    <w:rsid w:val="22BD504B"/>
    <w:rsid w:val="22D61781"/>
    <w:rsid w:val="22E30977"/>
    <w:rsid w:val="22E95A8D"/>
    <w:rsid w:val="22F017B2"/>
    <w:rsid w:val="22F7088E"/>
    <w:rsid w:val="22F97E5B"/>
    <w:rsid w:val="22FA647A"/>
    <w:rsid w:val="22FE319F"/>
    <w:rsid w:val="23042520"/>
    <w:rsid w:val="230A2A35"/>
    <w:rsid w:val="230B07F6"/>
    <w:rsid w:val="23143B37"/>
    <w:rsid w:val="231544D3"/>
    <w:rsid w:val="2315496B"/>
    <w:rsid w:val="231637F9"/>
    <w:rsid w:val="23230E78"/>
    <w:rsid w:val="232A7369"/>
    <w:rsid w:val="232C27B2"/>
    <w:rsid w:val="232C343E"/>
    <w:rsid w:val="232E7AA0"/>
    <w:rsid w:val="232F4B8E"/>
    <w:rsid w:val="233027B0"/>
    <w:rsid w:val="233A16D9"/>
    <w:rsid w:val="23415924"/>
    <w:rsid w:val="23566DDF"/>
    <w:rsid w:val="23572E7E"/>
    <w:rsid w:val="235924CA"/>
    <w:rsid w:val="23592D87"/>
    <w:rsid w:val="235F162F"/>
    <w:rsid w:val="23673863"/>
    <w:rsid w:val="236758A8"/>
    <w:rsid w:val="236A053E"/>
    <w:rsid w:val="236D4F13"/>
    <w:rsid w:val="23752F81"/>
    <w:rsid w:val="237B7D6C"/>
    <w:rsid w:val="23837B67"/>
    <w:rsid w:val="23857493"/>
    <w:rsid w:val="238755B6"/>
    <w:rsid w:val="23885214"/>
    <w:rsid w:val="238B65DE"/>
    <w:rsid w:val="239130F2"/>
    <w:rsid w:val="239A010A"/>
    <w:rsid w:val="239B728F"/>
    <w:rsid w:val="23AE6E9E"/>
    <w:rsid w:val="23BD6F6C"/>
    <w:rsid w:val="23C1734A"/>
    <w:rsid w:val="23C35B54"/>
    <w:rsid w:val="23C62FD3"/>
    <w:rsid w:val="23C80F4A"/>
    <w:rsid w:val="23CE5D21"/>
    <w:rsid w:val="23D160BB"/>
    <w:rsid w:val="23D33566"/>
    <w:rsid w:val="23D9762E"/>
    <w:rsid w:val="23DF2C6B"/>
    <w:rsid w:val="23E125FD"/>
    <w:rsid w:val="23E52298"/>
    <w:rsid w:val="23F06611"/>
    <w:rsid w:val="240E5D2B"/>
    <w:rsid w:val="240F3B82"/>
    <w:rsid w:val="24137B5B"/>
    <w:rsid w:val="24165CB9"/>
    <w:rsid w:val="24176341"/>
    <w:rsid w:val="241925AD"/>
    <w:rsid w:val="24194B93"/>
    <w:rsid w:val="24211333"/>
    <w:rsid w:val="242461D7"/>
    <w:rsid w:val="24255B0A"/>
    <w:rsid w:val="242778EB"/>
    <w:rsid w:val="242A43E1"/>
    <w:rsid w:val="242C04D9"/>
    <w:rsid w:val="242E2FF6"/>
    <w:rsid w:val="242E7ECB"/>
    <w:rsid w:val="243E6A2B"/>
    <w:rsid w:val="24401E98"/>
    <w:rsid w:val="24415F48"/>
    <w:rsid w:val="244F2484"/>
    <w:rsid w:val="24506BD9"/>
    <w:rsid w:val="2456340C"/>
    <w:rsid w:val="24574CEB"/>
    <w:rsid w:val="245D41D2"/>
    <w:rsid w:val="24620282"/>
    <w:rsid w:val="246234DA"/>
    <w:rsid w:val="24656690"/>
    <w:rsid w:val="24667266"/>
    <w:rsid w:val="24731A96"/>
    <w:rsid w:val="247A5C3A"/>
    <w:rsid w:val="247C5EE2"/>
    <w:rsid w:val="247C7B9E"/>
    <w:rsid w:val="247F6CC6"/>
    <w:rsid w:val="24837A35"/>
    <w:rsid w:val="248654B3"/>
    <w:rsid w:val="248907B2"/>
    <w:rsid w:val="249A5E20"/>
    <w:rsid w:val="249C2676"/>
    <w:rsid w:val="249C6208"/>
    <w:rsid w:val="249E39E8"/>
    <w:rsid w:val="24A20ED0"/>
    <w:rsid w:val="24A34E4A"/>
    <w:rsid w:val="24AC41BF"/>
    <w:rsid w:val="24B535F4"/>
    <w:rsid w:val="24B93780"/>
    <w:rsid w:val="24BC2C34"/>
    <w:rsid w:val="24BD38BA"/>
    <w:rsid w:val="24BF7767"/>
    <w:rsid w:val="24C0685F"/>
    <w:rsid w:val="24CD6DBE"/>
    <w:rsid w:val="24D125B0"/>
    <w:rsid w:val="24D20A06"/>
    <w:rsid w:val="24D51CDF"/>
    <w:rsid w:val="24E036A6"/>
    <w:rsid w:val="24E57853"/>
    <w:rsid w:val="24F17428"/>
    <w:rsid w:val="250253B9"/>
    <w:rsid w:val="250C5C6A"/>
    <w:rsid w:val="25176627"/>
    <w:rsid w:val="251E0656"/>
    <w:rsid w:val="252053F9"/>
    <w:rsid w:val="252C041C"/>
    <w:rsid w:val="25304AD5"/>
    <w:rsid w:val="25355ABC"/>
    <w:rsid w:val="25395126"/>
    <w:rsid w:val="254520AA"/>
    <w:rsid w:val="25467DBB"/>
    <w:rsid w:val="25473E3C"/>
    <w:rsid w:val="254C4068"/>
    <w:rsid w:val="254E34FC"/>
    <w:rsid w:val="25515E07"/>
    <w:rsid w:val="25584ADE"/>
    <w:rsid w:val="255A4670"/>
    <w:rsid w:val="255E0BEA"/>
    <w:rsid w:val="256343AC"/>
    <w:rsid w:val="25771B32"/>
    <w:rsid w:val="257C1A72"/>
    <w:rsid w:val="257F18B5"/>
    <w:rsid w:val="25805FF5"/>
    <w:rsid w:val="258A3283"/>
    <w:rsid w:val="258E66DC"/>
    <w:rsid w:val="258F15BB"/>
    <w:rsid w:val="259231BD"/>
    <w:rsid w:val="25A77DD4"/>
    <w:rsid w:val="25AB5048"/>
    <w:rsid w:val="25AE0C1E"/>
    <w:rsid w:val="25AF4749"/>
    <w:rsid w:val="25BB6C64"/>
    <w:rsid w:val="25C87522"/>
    <w:rsid w:val="25C97301"/>
    <w:rsid w:val="25CC4C1C"/>
    <w:rsid w:val="25CD7961"/>
    <w:rsid w:val="25D64403"/>
    <w:rsid w:val="25EB7CD4"/>
    <w:rsid w:val="25F04B7D"/>
    <w:rsid w:val="25F51596"/>
    <w:rsid w:val="25F67042"/>
    <w:rsid w:val="26015F29"/>
    <w:rsid w:val="260A55DA"/>
    <w:rsid w:val="260B255C"/>
    <w:rsid w:val="2611495B"/>
    <w:rsid w:val="2618762A"/>
    <w:rsid w:val="26217848"/>
    <w:rsid w:val="262E20E8"/>
    <w:rsid w:val="262E34C1"/>
    <w:rsid w:val="262F5277"/>
    <w:rsid w:val="263E0775"/>
    <w:rsid w:val="2640682F"/>
    <w:rsid w:val="26472F6E"/>
    <w:rsid w:val="264F2FA3"/>
    <w:rsid w:val="26510DB8"/>
    <w:rsid w:val="26531A21"/>
    <w:rsid w:val="26626905"/>
    <w:rsid w:val="26667EB2"/>
    <w:rsid w:val="266B1FB8"/>
    <w:rsid w:val="267B7FD0"/>
    <w:rsid w:val="267E518B"/>
    <w:rsid w:val="26872779"/>
    <w:rsid w:val="26874AF8"/>
    <w:rsid w:val="2689029B"/>
    <w:rsid w:val="26993F8A"/>
    <w:rsid w:val="269B3F13"/>
    <w:rsid w:val="269F18F0"/>
    <w:rsid w:val="26A17EEF"/>
    <w:rsid w:val="26A4288C"/>
    <w:rsid w:val="26A63366"/>
    <w:rsid w:val="26A968B5"/>
    <w:rsid w:val="26AC5BFD"/>
    <w:rsid w:val="26BA59F2"/>
    <w:rsid w:val="26C36DE5"/>
    <w:rsid w:val="26C9404D"/>
    <w:rsid w:val="26CD53A8"/>
    <w:rsid w:val="26CD5B9D"/>
    <w:rsid w:val="26D323BB"/>
    <w:rsid w:val="26D45590"/>
    <w:rsid w:val="26D7045E"/>
    <w:rsid w:val="26EA6257"/>
    <w:rsid w:val="26ED734F"/>
    <w:rsid w:val="26F40E3F"/>
    <w:rsid w:val="26F40EBD"/>
    <w:rsid w:val="26F85687"/>
    <w:rsid w:val="26FA2DE3"/>
    <w:rsid w:val="26FF74CD"/>
    <w:rsid w:val="27081696"/>
    <w:rsid w:val="27125B0D"/>
    <w:rsid w:val="27130E1A"/>
    <w:rsid w:val="27222699"/>
    <w:rsid w:val="272A3F42"/>
    <w:rsid w:val="273216D6"/>
    <w:rsid w:val="273D1CBA"/>
    <w:rsid w:val="27462901"/>
    <w:rsid w:val="2749419F"/>
    <w:rsid w:val="274A7B1A"/>
    <w:rsid w:val="274C7EA9"/>
    <w:rsid w:val="275439E1"/>
    <w:rsid w:val="275658F1"/>
    <w:rsid w:val="275A3FBF"/>
    <w:rsid w:val="276320D7"/>
    <w:rsid w:val="278A6416"/>
    <w:rsid w:val="279408D2"/>
    <w:rsid w:val="279A2ED3"/>
    <w:rsid w:val="27A23025"/>
    <w:rsid w:val="27A46397"/>
    <w:rsid w:val="27B02558"/>
    <w:rsid w:val="27B03EC1"/>
    <w:rsid w:val="27B91021"/>
    <w:rsid w:val="27C0624C"/>
    <w:rsid w:val="27C06D17"/>
    <w:rsid w:val="27C66099"/>
    <w:rsid w:val="27CA7CDA"/>
    <w:rsid w:val="27E1547F"/>
    <w:rsid w:val="27E53797"/>
    <w:rsid w:val="27FE2C77"/>
    <w:rsid w:val="27FE4240"/>
    <w:rsid w:val="280008FF"/>
    <w:rsid w:val="28050D91"/>
    <w:rsid w:val="281035C6"/>
    <w:rsid w:val="28140E2A"/>
    <w:rsid w:val="28255041"/>
    <w:rsid w:val="283832F0"/>
    <w:rsid w:val="283A1E3E"/>
    <w:rsid w:val="284543A1"/>
    <w:rsid w:val="28553E1D"/>
    <w:rsid w:val="28673AE5"/>
    <w:rsid w:val="28693318"/>
    <w:rsid w:val="286B3B61"/>
    <w:rsid w:val="28765DD5"/>
    <w:rsid w:val="287E58AF"/>
    <w:rsid w:val="28821314"/>
    <w:rsid w:val="2891501A"/>
    <w:rsid w:val="28937E6D"/>
    <w:rsid w:val="289408FB"/>
    <w:rsid w:val="28A66523"/>
    <w:rsid w:val="28AD2029"/>
    <w:rsid w:val="28AE4FA7"/>
    <w:rsid w:val="28B220F4"/>
    <w:rsid w:val="28C075A4"/>
    <w:rsid w:val="28CE2A8C"/>
    <w:rsid w:val="28D139F1"/>
    <w:rsid w:val="28D4119A"/>
    <w:rsid w:val="28D5169B"/>
    <w:rsid w:val="28DA6C60"/>
    <w:rsid w:val="28DB0A30"/>
    <w:rsid w:val="28DF362B"/>
    <w:rsid w:val="28E7672E"/>
    <w:rsid w:val="28EE701B"/>
    <w:rsid w:val="28F33F0D"/>
    <w:rsid w:val="28F72DB8"/>
    <w:rsid w:val="28F95F71"/>
    <w:rsid w:val="28FE6A8A"/>
    <w:rsid w:val="290517ED"/>
    <w:rsid w:val="290753B9"/>
    <w:rsid w:val="290D7E0C"/>
    <w:rsid w:val="291415DC"/>
    <w:rsid w:val="291712DF"/>
    <w:rsid w:val="29192BE8"/>
    <w:rsid w:val="291C432F"/>
    <w:rsid w:val="291D21EF"/>
    <w:rsid w:val="29264B1F"/>
    <w:rsid w:val="292A375F"/>
    <w:rsid w:val="29316984"/>
    <w:rsid w:val="293310A0"/>
    <w:rsid w:val="2938092A"/>
    <w:rsid w:val="293966D9"/>
    <w:rsid w:val="29425246"/>
    <w:rsid w:val="2946144E"/>
    <w:rsid w:val="2946760C"/>
    <w:rsid w:val="294A5BC8"/>
    <w:rsid w:val="29504176"/>
    <w:rsid w:val="296865F6"/>
    <w:rsid w:val="296B20A7"/>
    <w:rsid w:val="296C1312"/>
    <w:rsid w:val="29715A13"/>
    <w:rsid w:val="297D1A8B"/>
    <w:rsid w:val="297F6ED3"/>
    <w:rsid w:val="29836536"/>
    <w:rsid w:val="29981CF5"/>
    <w:rsid w:val="299D117F"/>
    <w:rsid w:val="29A4634A"/>
    <w:rsid w:val="29A84DD1"/>
    <w:rsid w:val="29AA2390"/>
    <w:rsid w:val="29B85AFC"/>
    <w:rsid w:val="29BB74AF"/>
    <w:rsid w:val="29BC2AA4"/>
    <w:rsid w:val="29CD2270"/>
    <w:rsid w:val="29D22D87"/>
    <w:rsid w:val="29DA58FD"/>
    <w:rsid w:val="29DB020F"/>
    <w:rsid w:val="29E64370"/>
    <w:rsid w:val="29E765AE"/>
    <w:rsid w:val="29EB2636"/>
    <w:rsid w:val="29ED4F50"/>
    <w:rsid w:val="29F26903"/>
    <w:rsid w:val="2A06427E"/>
    <w:rsid w:val="2A0F1A72"/>
    <w:rsid w:val="2A0F7591"/>
    <w:rsid w:val="2A13176E"/>
    <w:rsid w:val="2A1C1ECA"/>
    <w:rsid w:val="2A216713"/>
    <w:rsid w:val="2A220953"/>
    <w:rsid w:val="2A222BC6"/>
    <w:rsid w:val="2A2D192A"/>
    <w:rsid w:val="2A3B063B"/>
    <w:rsid w:val="2A49761F"/>
    <w:rsid w:val="2A4C74B8"/>
    <w:rsid w:val="2A4F49D1"/>
    <w:rsid w:val="2A500712"/>
    <w:rsid w:val="2A627A42"/>
    <w:rsid w:val="2A630308"/>
    <w:rsid w:val="2A676AD0"/>
    <w:rsid w:val="2A687AA6"/>
    <w:rsid w:val="2A69452C"/>
    <w:rsid w:val="2A6A2073"/>
    <w:rsid w:val="2A747B7C"/>
    <w:rsid w:val="2A770CC7"/>
    <w:rsid w:val="2A7A022E"/>
    <w:rsid w:val="2A7D3DFE"/>
    <w:rsid w:val="2A8A27A6"/>
    <w:rsid w:val="2A8B1FCC"/>
    <w:rsid w:val="2A913D35"/>
    <w:rsid w:val="2A9303DF"/>
    <w:rsid w:val="2A9A66D4"/>
    <w:rsid w:val="2AA12DD3"/>
    <w:rsid w:val="2AAA29AB"/>
    <w:rsid w:val="2AAC36BD"/>
    <w:rsid w:val="2AB04937"/>
    <w:rsid w:val="2AB86677"/>
    <w:rsid w:val="2ABC2E55"/>
    <w:rsid w:val="2AC90132"/>
    <w:rsid w:val="2ACF5AEC"/>
    <w:rsid w:val="2AD62AB0"/>
    <w:rsid w:val="2ADC1447"/>
    <w:rsid w:val="2ADE1583"/>
    <w:rsid w:val="2AE70523"/>
    <w:rsid w:val="2AED6A07"/>
    <w:rsid w:val="2AF12CDF"/>
    <w:rsid w:val="2AF27DCB"/>
    <w:rsid w:val="2B0726A6"/>
    <w:rsid w:val="2B0C6B23"/>
    <w:rsid w:val="2B0D3C71"/>
    <w:rsid w:val="2B1D6F4B"/>
    <w:rsid w:val="2B2D1363"/>
    <w:rsid w:val="2B3032BB"/>
    <w:rsid w:val="2B306C2A"/>
    <w:rsid w:val="2B335E16"/>
    <w:rsid w:val="2B42025A"/>
    <w:rsid w:val="2B450516"/>
    <w:rsid w:val="2B4526E2"/>
    <w:rsid w:val="2B4722C4"/>
    <w:rsid w:val="2B4F3C6E"/>
    <w:rsid w:val="2B592A46"/>
    <w:rsid w:val="2B5B7165"/>
    <w:rsid w:val="2B611B55"/>
    <w:rsid w:val="2B686C09"/>
    <w:rsid w:val="2B773D2F"/>
    <w:rsid w:val="2B795BD8"/>
    <w:rsid w:val="2B8759DF"/>
    <w:rsid w:val="2B8B34AB"/>
    <w:rsid w:val="2B8C6A2F"/>
    <w:rsid w:val="2B914C5E"/>
    <w:rsid w:val="2BA252E6"/>
    <w:rsid w:val="2BB44220"/>
    <w:rsid w:val="2BB61EA7"/>
    <w:rsid w:val="2BB62EEA"/>
    <w:rsid w:val="2BBA6EF5"/>
    <w:rsid w:val="2BC01081"/>
    <w:rsid w:val="2BC03979"/>
    <w:rsid w:val="2BC44550"/>
    <w:rsid w:val="2BC6496E"/>
    <w:rsid w:val="2BC941AF"/>
    <w:rsid w:val="2BDC02CD"/>
    <w:rsid w:val="2BE64A3E"/>
    <w:rsid w:val="2BEC4F7F"/>
    <w:rsid w:val="2BF01DD3"/>
    <w:rsid w:val="2BF51B27"/>
    <w:rsid w:val="2C11705A"/>
    <w:rsid w:val="2C1216FD"/>
    <w:rsid w:val="2C1F2C4F"/>
    <w:rsid w:val="2C253658"/>
    <w:rsid w:val="2C395B9E"/>
    <w:rsid w:val="2C39775E"/>
    <w:rsid w:val="2C416890"/>
    <w:rsid w:val="2C4725E8"/>
    <w:rsid w:val="2C4D767D"/>
    <w:rsid w:val="2C5514C6"/>
    <w:rsid w:val="2C5B6D3D"/>
    <w:rsid w:val="2C5C2032"/>
    <w:rsid w:val="2C5E21B4"/>
    <w:rsid w:val="2C5F0C97"/>
    <w:rsid w:val="2C677A44"/>
    <w:rsid w:val="2C6B4038"/>
    <w:rsid w:val="2C7164C9"/>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EF71FF"/>
    <w:rsid w:val="2CF4201A"/>
    <w:rsid w:val="2CFB3F05"/>
    <w:rsid w:val="2CFD5C64"/>
    <w:rsid w:val="2D0128E8"/>
    <w:rsid w:val="2D0450C7"/>
    <w:rsid w:val="2D0C5A2F"/>
    <w:rsid w:val="2D0E231B"/>
    <w:rsid w:val="2D145154"/>
    <w:rsid w:val="2D154754"/>
    <w:rsid w:val="2D1A1A6B"/>
    <w:rsid w:val="2D1A4915"/>
    <w:rsid w:val="2D306B85"/>
    <w:rsid w:val="2D323D75"/>
    <w:rsid w:val="2D384A17"/>
    <w:rsid w:val="2D3918EA"/>
    <w:rsid w:val="2D400A9F"/>
    <w:rsid w:val="2D540857"/>
    <w:rsid w:val="2D590555"/>
    <w:rsid w:val="2D726428"/>
    <w:rsid w:val="2D7A06F1"/>
    <w:rsid w:val="2D7E3490"/>
    <w:rsid w:val="2D8151A4"/>
    <w:rsid w:val="2DA02E9C"/>
    <w:rsid w:val="2DBB1852"/>
    <w:rsid w:val="2DBE5F50"/>
    <w:rsid w:val="2DBF0C3E"/>
    <w:rsid w:val="2DBF1601"/>
    <w:rsid w:val="2DBF4C3A"/>
    <w:rsid w:val="2DC464AC"/>
    <w:rsid w:val="2DD06AF3"/>
    <w:rsid w:val="2DDD1D4C"/>
    <w:rsid w:val="2DF04CFF"/>
    <w:rsid w:val="2DF6091F"/>
    <w:rsid w:val="2DF77C3F"/>
    <w:rsid w:val="2DFA6574"/>
    <w:rsid w:val="2DFB6F69"/>
    <w:rsid w:val="2E001622"/>
    <w:rsid w:val="2E040A80"/>
    <w:rsid w:val="2E095C19"/>
    <w:rsid w:val="2E0F3A78"/>
    <w:rsid w:val="2E1530A6"/>
    <w:rsid w:val="2E160B5E"/>
    <w:rsid w:val="2E1859B1"/>
    <w:rsid w:val="2E190FE7"/>
    <w:rsid w:val="2E2630D7"/>
    <w:rsid w:val="2E2806DD"/>
    <w:rsid w:val="2E2A4425"/>
    <w:rsid w:val="2E2F3046"/>
    <w:rsid w:val="2E302808"/>
    <w:rsid w:val="2E383135"/>
    <w:rsid w:val="2E3A3030"/>
    <w:rsid w:val="2E3C084B"/>
    <w:rsid w:val="2E3F5541"/>
    <w:rsid w:val="2E46069F"/>
    <w:rsid w:val="2E5608F9"/>
    <w:rsid w:val="2E573815"/>
    <w:rsid w:val="2E59206F"/>
    <w:rsid w:val="2E6B29AA"/>
    <w:rsid w:val="2E6F4813"/>
    <w:rsid w:val="2E705752"/>
    <w:rsid w:val="2E746596"/>
    <w:rsid w:val="2E7622E7"/>
    <w:rsid w:val="2E7A5E34"/>
    <w:rsid w:val="2E7B65BB"/>
    <w:rsid w:val="2E855C37"/>
    <w:rsid w:val="2E874C1A"/>
    <w:rsid w:val="2E877B3D"/>
    <w:rsid w:val="2E8863A8"/>
    <w:rsid w:val="2E8F09A4"/>
    <w:rsid w:val="2E993370"/>
    <w:rsid w:val="2E9A086A"/>
    <w:rsid w:val="2EA049A8"/>
    <w:rsid w:val="2EA26ABE"/>
    <w:rsid w:val="2EA72F10"/>
    <w:rsid w:val="2EA74B75"/>
    <w:rsid w:val="2EB61295"/>
    <w:rsid w:val="2EC414ED"/>
    <w:rsid w:val="2EC71A13"/>
    <w:rsid w:val="2ED24577"/>
    <w:rsid w:val="2EDC714E"/>
    <w:rsid w:val="2EEA307E"/>
    <w:rsid w:val="2EEB65DB"/>
    <w:rsid w:val="2EEF6737"/>
    <w:rsid w:val="2EF276DC"/>
    <w:rsid w:val="2EF53C20"/>
    <w:rsid w:val="2EFC5DDD"/>
    <w:rsid w:val="2F002CCF"/>
    <w:rsid w:val="2F0160A3"/>
    <w:rsid w:val="2F18561C"/>
    <w:rsid w:val="2F1A491A"/>
    <w:rsid w:val="2F2960CC"/>
    <w:rsid w:val="2F2F3D52"/>
    <w:rsid w:val="2F3B7B8B"/>
    <w:rsid w:val="2F44254B"/>
    <w:rsid w:val="2F4530B9"/>
    <w:rsid w:val="2F4B7821"/>
    <w:rsid w:val="2F526911"/>
    <w:rsid w:val="2F5741FD"/>
    <w:rsid w:val="2F57587A"/>
    <w:rsid w:val="2F5E1A24"/>
    <w:rsid w:val="2F615954"/>
    <w:rsid w:val="2F712CF7"/>
    <w:rsid w:val="2F7E7309"/>
    <w:rsid w:val="2F805714"/>
    <w:rsid w:val="2F8640C4"/>
    <w:rsid w:val="2F8E5F5C"/>
    <w:rsid w:val="2F921FAC"/>
    <w:rsid w:val="2FA17D6D"/>
    <w:rsid w:val="2FA21231"/>
    <w:rsid w:val="2FAD4759"/>
    <w:rsid w:val="2FAD5866"/>
    <w:rsid w:val="2FAF39EC"/>
    <w:rsid w:val="2FCA0967"/>
    <w:rsid w:val="2FCA6BDC"/>
    <w:rsid w:val="2FD84674"/>
    <w:rsid w:val="2FDB17E1"/>
    <w:rsid w:val="2FE20568"/>
    <w:rsid w:val="2FE37171"/>
    <w:rsid w:val="2FF117AD"/>
    <w:rsid w:val="2FF17999"/>
    <w:rsid w:val="2FF40BAE"/>
    <w:rsid w:val="2FF95633"/>
    <w:rsid w:val="30010F70"/>
    <w:rsid w:val="300F7F13"/>
    <w:rsid w:val="30140148"/>
    <w:rsid w:val="30143302"/>
    <w:rsid w:val="30151A88"/>
    <w:rsid w:val="3015792C"/>
    <w:rsid w:val="301E3C00"/>
    <w:rsid w:val="302757BF"/>
    <w:rsid w:val="302E1CAD"/>
    <w:rsid w:val="303F41B8"/>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3E22A6"/>
    <w:rsid w:val="31412F85"/>
    <w:rsid w:val="31454E97"/>
    <w:rsid w:val="314A019C"/>
    <w:rsid w:val="314E27D6"/>
    <w:rsid w:val="31514FC5"/>
    <w:rsid w:val="31584385"/>
    <w:rsid w:val="315D7DEC"/>
    <w:rsid w:val="31647576"/>
    <w:rsid w:val="31665E5D"/>
    <w:rsid w:val="31672771"/>
    <w:rsid w:val="316B0F75"/>
    <w:rsid w:val="316D6950"/>
    <w:rsid w:val="31712ADE"/>
    <w:rsid w:val="3171328C"/>
    <w:rsid w:val="317477EC"/>
    <w:rsid w:val="317A322A"/>
    <w:rsid w:val="31822EAF"/>
    <w:rsid w:val="31840D12"/>
    <w:rsid w:val="31846FF6"/>
    <w:rsid w:val="318E27CE"/>
    <w:rsid w:val="31926467"/>
    <w:rsid w:val="319268E9"/>
    <w:rsid w:val="319B3834"/>
    <w:rsid w:val="319D6381"/>
    <w:rsid w:val="31A53A0B"/>
    <w:rsid w:val="31A7307B"/>
    <w:rsid w:val="31A94576"/>
    <w:rsid w:val="31AC2EA3"/>
    <w:rsid w:val="31AE5AA7"/>
    <w:rsid w:val="31B23BA8"/>
    <w:rsid w:val="31B41234"/>
    <w:rsid w:val="31C363A1"/>
    <w:rsid w:val="31CA5CF8"/>
    <w:rsid w:val="31CB26CD"/>
    <w:rsid w:val="31D06A52"/>
    <w:rsid w:val="31E302B9"/>
    <w:rsid w:val="31F20023"/>
    <w:rsid w:val="31F536F7"/>
    <w:rsid w:val="31F95C2C"/>
    <w:rsid w:val="31FA7AEE"/>
    <w:rsid w:val="31FB60C5"/>
    <w:rsid w:val="32045E02"/>
    <w:rsid w:val="3209100C"/>
    <w:rsid w:val="321E250B"/>
    <w:rsid w:val="32226597"/>
    <w:rsid w:val="322A5516"/>
    <w:rsid w:val="322C6DC4"/>
    <w:rsid w:val="3238698E"/>
    <w:rsid w:val="324968A9"/>
    <w:rsid w:val="324F1DD8"/>
    <w:rsid w:val="32544043"/>
    <w:rsid w:val="3259293C"/>
    <w:rsid w:val="325E5514"/>
    <w:rsid w:val="32666821"/>
    <w:rsid w:val="326718A4"/>
    <w:rsid w:val="32694229"/>
    <w:rsid w:val="326A18B1"/>
    <w:rsid w:val="326B7BBB"/>
    <w:rsid w:val="3272101B"/>
    <w:rsid w:val="3279017B"/>
    <w:rsid w:val="327A3DD6"/>
    <w:rsid w:val="327E6AD8"/>
    <w:rsid w:val="32946A84"/>
    <w:rsid w:val="32AA6E8C"/>
    <w:rsid w:val="32B22C9D"/>
    <w:rsid w:val="32BC6631"/>
    <w:rsid w:val="32C05B65"/>
    <w:rsid w:val="32C6418D"/>
    <w:rsid w:val="32D14A7F"/>
    <w:rsid w:val="32D26AE6"/>
    <w:rsid w:val="32D733FA"/>
    <w:rsid w:val="32DE353D"/>
    <w:rsid w:val="32E148E8"/>
    <w:rsid w:val="32E343F6"/>
    <w:rsid w:val="32E921F0"/>
    <w:rsid w:val="32F330D3"/>
    <w:rsid w:val="32F76D5D"/>
    <w:rsid w:val="32F86450"/>
    <w:rsid w:val="330244A4"/>
    <w:rsid w:val="33085C05"/>
    <w:rsid w:val="33086783"/>
    <w:rsid w:val="330F1E44"/>
    <w:rsid w:val="331747E7"/>
    <w:rsid w:val="331B37C6"/>
    <w:rsid w:val="331C390F"/>
    <w:rsid w:val="333A0536"/>
    <w:rsid w:val="333E0FE1"/>
    <w:rsid w:val="334D7767"/>
    <w:rsid w:val="334F2840"/>
    <w:rsid w:val="335A59CC"/>
    <w:rsid w:val="33610DDA"/>
    <w:rsid w:val="3362171F"/>
    <w:rsid w:val="3366319E"/>
    <w:rsid w:val="336C2B69"/>
    <w:rsid w:val="33767D1F"/>
    <w:rsid w:val="337F446B"/>
    <w:rsid w:val="33892652"/>
    <w:rsid w:val="338E29B0"/>
    <w:rsid w:val="33924A39"/>
    <w:rsid w:val="339902E6"/>
    <w:rsid w:val="339D35FC"/>
    <w:rsid w:val="33A156DE"/>
    <w:rsid w:val="33B31E2C"/>
    <w:rsid w:val="33B52233"/>
    <w:rsid w:val="33B70359"/>
    <w:rsid w:val="33BA1B32"/>
    <w:rsid w:val="33CB205A"/>
    <w:rsid w:val="33CF2181"/>
    <w:rsid w:val="33D451B9"/>
    <w:rsid w:val="33E20DF0"/>
    <w:rsid w:val="33E570DD"/>
    <w:rsid w:val="33EE5E44"/>
    <w:rsid w:val="33F66B85"/>
    <w:rsid w:val="33F81D16"/>
    <w:rsid w:val="33FE4E44"/>
    <w:rsid w:val="34004C51"/>
    <w:rsid w:val="34087429"/>
    <w:rsid w:val="340B5F03"/>
    <w:rsid w:val="3411600B"/>
    <w:rsid w:val="341315B5"/>
    <w:rsid w:val="34147AA7"/>
    <w:rsid w:val="341808C3"/>
    <w:rsid w:val="34182B66"/>
    <w:rsid w:val="34260D3D"/>
    <w:rsid w:val="342D198C"/>
    <w:rsid w:val="342D3CE2"/>
    <w:rsid w:val="34343D6C"/>
    <w:rsid w:val="34347DC5"/>
    <w:rsid w:val="34380493"/>
    <w:rsid w:val="34463967"/>
    <w:rsid w:val="344C08D2"/>
    <w:rsid w:val="345543D1"/>
    <w:rsid w:val="345A7367"/>
    <w:rsid w:val="345D2CD0"/>
    <w:rsid w:val="346C0AEA"/>
    <w:rsid w:val="3473748E"/>
    <w:rsid w:val="347F540F"/>
    <w:rsid w:val="34860685"/>
    <w:rsid w:val="34863322"/>
    <w:rsid w:val="34885DB3"/>
    <w:rsid w:val="3489007B"/>
    <w:rsid w:val="348F7A0E"/>
    <w:rsid w:val="349A0B7D"/>
    <w:rsid w:val="34A83771"/>
    <w:rsid w:val="34A851E8"/>
    <w:rsid w:val="34B476F9"/>
    <w:rsid w:val="34B51A96"/>
    <w:rsid w:val="34C800BD"/>
    <w:rsid w:val="34CC1DC7"/>
    <w:rsid w:val="34D47C8A"/>
    <w:rsid w:val="34D874E5"/>
    <w:rsid w:val="34DB0CAC"/>
    <w:rsid w:val="34DD3DF9"/>
    <w:rsid w:val="34DE6678"/>
    <w:rsid w:val="34E972FC"/>
    <w:rsid w:val="34F83EF3"/>
    <w:rsid w:val="34F953E0"/>
    <w:rsid w:val="34FF2166"/>
    <w:rsid w:val="350B69C5"/>
    <w:rsid w:val="351230A3"/>
    <w:rsid w:val="351C075B"/>
    <w:rsid w:val="351D7027"/>
    <w:rsid w:val="35233F18"/>
    <w:rsid w:val="3524348B"/>
    <w:rsid w:val="35295D65"/>
    <w:rsid w:val="352B5169"/>
    <w:rsid w:val="35333FF2"/>
    <w:rsid w:val="353C1409"/>
    <w:rsid w:val="353C4905"/>
    <w:rsid w:val="353C75ED"/>
    <w:rsid w:val="353E791E"/>
    <w:rsid w:val="354008AB"/>
    <w:rsid w:val="354966A2"/>
    <w:rsid w:val="354C7B38"/>
    <w:rsid w:val="354E7911"/>
    <w:rsid w:val="354F28B8"/>
    <w:rsid w:val="35562F9E"/>
    <w:rsid w:val="35581BA8"/>
    <w:rsid w:val="355A4F10"/>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801CA"/>
    <w:rsid w:val="35DD2AEE"/>
    <w:rsid w:val="35EA6509"/>
    <w:rsid w:val="35ED04DC"/>
    <w:rsid w:val="35F44E5C"/>
    <w:rsid w:val="35F45994"/>
    <w:rsid w:val="3602050E"/>
    <w:rsid w:val="36101A49"/>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9B380D"/>
    <w:rsid w:val="369D3BCF"/>
    <w:rsid w:val="36A312B2"/>
    <w:rsid w:val="36A9265A"/>
    <w:rsid w:val="36B121C7"/>
    <w:rsid w:val="36B2486C"/>
    <w:rsid w:val="36BA14F4"/>
    <w:rsid w:val="36C366A9"/>
    <w:rsid w:val="36D009E5"/>
    <w:rsid w:val="36D27C18"/>
    <w:rsid w:val="36D512A9"/>
    <w:rsid w:val="36D81B67"/>
    <w:rsid w:val="36D934D3"/>
    <w:rsid w:val="36D94280"/>
    <w:rsid w:val="36DE2053"/>
    <w:rsid w:val="36E07ED3"/>
    <w:rsid w:val="36F414F3"/>
    <w:rsid w:val="37002C93"/>
    <w:rsid w:val="370974B4"/>
    <w:rsid w:val="371A5A8E"/>
    <w:rsid w:val="371B03AE"/>
    <w:rsid w:val="371E6151"/>
    <w:rsid w:val="37277663"/>
    <w:rsid w:val="372918B9"/>
    <w:rsid w:val="372A07F2"/>
    <w:rsid w:val="372B49CD"/>
    <w:rsid w:val="37357964"/>
    <w:rsid w:val="373D6F58"/>
    <w:rsid w:val="37446333"/>
    <w:rsid w:val="37446A77"/>
    <w:rsid w:val="3745400A"/>
    <w:rsid w:val="374D0B20"/>
    <w:rsid w:val="37557969"/>
    <w:rsid w:val="375D4473"/>
    <w:rsid w:val="37615F3C"/>
    <w:rsid w:val="376B106B"/>
    <w:rsid w:val="377963D6"/>
    <w:rsid w:val="37840F0B"/>
    <w:rsid w:val="378772DD"/>
    <w:rsid w:val="378A731A"/>
    <w:rsid w:val="378E3617"/>
    <w:rsid w:val="37931A90"/>
    <w:rsid w:val="37A4082B"/>
    <w:rsid w:val="37A4627C"/>
    <w:rsid w:val="37A530D5"/>
    <w:rsid w:val="37A643C8"/>
    <w:rsid w:val="37AE534B"/>
    <w:rsid w:val="37B1214B"/>
    <w:rsid w:val="37B5292C"/>
    <w:rsid w:val="37BA6351"/>
    <w:rsid w:val="37C93B72"/>
    <w:rsid w:val="37D644F2"/>
    <w:rsid w:val="37E22653"/>
    <w:rsid w:val="37E74CFA"/>
    <w:rsid w:val="37ED5E3A"/>
    <w:rsid w:val="37EF1B98"/>
    <w:rsid w:val="37F311D3"/>
    <w:rsid w:val="37F7242F"/>
    <w:rsid w:val="37FD1EC6"/>
    <w:rsid w:val="380579FE"/>
    <w:rsid w:val="380A2EB4"/>
    <w:rsid w:val="38157509"/>
    <w:rsid w:val="381D5340"/>
    <w:rsid w:val="382115C5"/>
    <w:rsid w:val="382150C9"/>
    <w:rsid w:val="382372FE"/>
    <w:rsid w:val="38284CDE"/>
    <w:rsid w:val="382D297A"/>
    <w:rsid w:val="382F19E6"/>
    <w:rsid w:val="383B2EED"/>
    <w:rsid w:val="384C2D57"/>
    <w:rsid w:val="38557E21"/>
    <w:rsid w:val="3856501D"/>
    <w:rsid w:val="38590DD6"/>
    <w:rsid w:val="385F47DB"/>
    <w:rsid w:val="3865366F"/>
    <w:rsid w:val="38693A96"/>
    <w:rsid w:val="386A1921"/>
    <w:rsid w:val="386B38FB"/>
    <w:rsid w:val="38775820"/>
    <w:rsid w:val="387F0A30"/>
    <w:rsid w:val="38876F05"/>
    <w:rsid w:val="38894DA5"/>
    <w:rsid w:val="389121D9"/>
    <w:rsid w:val="38913DAB"/>
    <w:rsid w:val="38981AB5"/>
    <w:rsid w:val="38A30506"/>
    <w:rsid w:val="38A40C18"/>
    <w:rsid w:val="38A61C5A"/>
    <w:rsid w:val="38AB306B"/>
    <w:rsid w:val="38B9506E"/>
    <w:rsid w:val="38BC6ADD"/>
    <w:rsid w:val="38BF2270"/>
    <w:rsid w:val="38C0788B"/>
    <w:rsid w:val="38C33701"/>
    <w:rsid w:val="38C43916"/>
    <w:rsid w:val="38D05F26"/>
    <w:rsid w:val="38D124F5"/>
    <w:rsid w:val="38D504F4"/>
    <w:rsid w:val="38D95A84"/>
    <w:rsid w:val="38E0393A"/>
    <w:rsid w:val="38E11AA1"/>
    <w:rsid w:val="38E45926"/>
    <w:rsid w:val="38E46191"/>
    <w:rsid w:val="38EB7945"/>
    <w:rsid w:val="38EC260C"/>
    <w:rsid w:val="38F50C85"/>
    <w:rsid w:val="39065A02"/>
    <w:rsid w:val="390946B7"/>
    <w:rsid w:val="39105718"/>
    <w:rsid w:val="392B6A4C"/>
    <w:rsid w:val="393544DD"/>
    <w:rsid w:val="393962EC"/>
    <w:rsid w:val="393F6CD7"/>
    <w:rsid w:val="39457868"/>
    <w:rsid w:val="3949186A"/>
    <w:rsid w:val="394935B8"/>
    <w:rsid w:val="394C557A"/>
    <w:rsid w:val="3952190F"/>
    <w:rsid w:val="395753F2"/>
    <w:rsid w:val="395811AF"/>
    <w:rsid w:val="39676A41"/>
    <w:rsid w:val="39686D44"/>
    <w:rsid w:val="39695DEF"/>
    <w:rsid w:val="397E700C"/>
    <w:rsid w:val="39834074"/>
    <w:rsid w:val="39885108"/>
    <w:rsid w:val="39907940"/>
    <w:rsid w:val="399602F5"/>
    <w:rsid w:val="399B5B0D"/>
    <w:rsid w:val="399C7C62"/>
    <w:rsid w:val="39A05979"/>
    <w:rsid w:val="39A242DC"/>
    <w:rsid w:val="39BB78F7"/>
    <w:rsid w:val="39BC428E"/>
    <w:rsid w:val="39C46549"/>
    <w:rsid w:val="39CA1A60"/>
    <w:rsid w:val="39D3749A"/>
    <w:rsid w:val="39D5434E"/>
    <w:rsid w:val="39DA2434"/>
    <w:rsid w:val="39DA738E"/>
    <w:rsid w:val="39DC3D4A"/>
    <w:rsid w:val="39DD49C2"/>
    <w:rsid w:val="39DD4ACE"/>
    <w:rsid w:val="39E02BA8"/>
    <w:rsid w:val="39E70CEA"/>
    <w:rsid w:val="39E9070B"/>
    <w:rsid w:val="39EC7454"/>
    <w:rsid w:val="39FD2FB3"/>
    <w:rsid w:val="3A026596"/>
    <w:rsid w:val="3A082ABE"/>
    <w:rsid w:val="3A0E766B"/>
    <w:rsid w:val="3A181AC2"/>
    <w:rsid w:val="3A1A155D"/>
    <w:rsid w:val="3A237175"/>
    <w:rsid w:val="3A443D4B"/>
    <w:rsid w:val="3A616CAD"/>
    <w:rsid w:val="3A711C68"/>
    <w:rsid w:val="3A7927E8"/>
    <w:rsid w:val="3A796E46"/>
    <w:rsid w:val="3A8B3C77"/>
    <w:rsid w:val="3A971F5B"/>
    <w:rsid w:val="3A9A224E"/>
    <w:rsid w:val="3A9C1F8C"/>
    <w:rsid w:val="3A9D2551"/>
    <w:rsid w:val="3AA15A8E"/>
    <w:rsid w:val="3AA90278"/>
    <w:rsid w:val="3AA97F70"/>
    <w:rsid w:val="3AAA0A20"/>
    <w:rsid w:val="3AAC45FD"/>
    <w:rsid w:val="3AB26A14"/>
    <w:rsid w:val="3AB94248"/>
    <w:rsid w:val="3ABE76C3"/>
    <w:rsid w:val="3ABF42F5"/>
    <w:rsid w:val="3ACE7D16"/>
    <w:rsid w:val="3AD73D23"/>
    <w:rsid w:val="3AF52D27"/>
    <w:rsid w:val="3AF932C9"/>
    <w:rsid w:val="3AFD37D0"/>
    <w:rsid w:val="3B016EE9"/>
    <w:rsid w:val="3B075C4E"/>
    <w:rsid w:val="3B0C7A7D"/>
    <w:rsid w:val="3B0D67FF"/>
    <w:rsid w:val="3B0E6B93"/>
    <w:rsid w:val="3B130528"/>
    <w:rsid w:val="3B1703B9"/>
    <w:rsid w:val="3B1B0093"/>
    <w:rsid w:val="3B2356A8"/>
    <w:rsid w:val="3B235A33"/>
    <w:rsid w:val="3B2D161A"/>
    <w:rsid w:val="3B2E7833"/>
    <w:rsid w:val="3B3A132E"/>
    <w:rsid w:val="3B456D7F"/>
    <w:rsid w:val="3B5B2C0F"/>
    <w:rsid w:val="3B5E261D"/>
    <w:rsid w:val="3B5F14B4"/>
    <w:rsid w:val="3B616FBE"/>
    <w:rsid w:val="3B683A4D"/>
    <w:rsid w:val="3B6A3CF4"/>
    <w:rsid w:val="3B6D5AE8"/>
    <w:rsid w:val="3B6F5B73"/>
    <w:rsid w:val="3B70725E"/>
    <w:rsid w:val="3B7B1D0B"/>
    <w:rsid w:val="3B850B78"/>
    <w:rsid w:val="3B873119"/>
    <w:rsid w:val="3B9C2663"/>
    <w:rsid w:val="3B9C285E"/>
    <w:rsid w:val="3BA17E84"/>
    <w:rsid w:val="3BA35FC1"/>
    <w:rsid w:val="3BA566FD"/>
    <w:rsid w:val="3BA7008A"/>
    <w:rsid w:val="3BB47D9F"/>
    <w:rsid w:val="3BB66191"/>
    <w:rsid w:val="3BD039A1"/>
    <w:rsid w:val="3BD35D55"/>
    <w:rsid w:val="3BDE5F43"/>
    <w:rsid w:val="3BE745F7"/>
    <w:rsid w:val="3BF10AAD"/>
    <w:rsid w:val="3BFA10FC"/>
    <w:rsid w:val="3C032713"/>
    <w:rsid w:val="3C042946"/>
    <w:rsid w:val="3C070D59"/>
    <w:rsid w:val="3C074961"/>
    <w:rsid w:val="3C0E09BE"/>
    <w:rsid w:val="3C0F1954"/>
    <w:rsid w:val="3C1071B6"/>
    <w:rsid w:val="3C1E391D"/>
    <w:rsid w:val="3C21000D"/>
    <w:rsid w:val="3C237821"/>
    <w:rsid w:val="3C294498"/>
    <w:rsid w:val="3C2D5003"/>
    <w:rsid w:val="3C333216"/>
    <w:rsid w:val="3C36018F"/>
    <w:rsid w:val="3C3B0B4B"/>
    <w:rsid w:val="3C3D016E"/>
    <w:rsid w:val="3C3E1793"/>
    <w:rsid w:val="3C454266"/>
    <w:rsid w:val="3C4864AA"/>
    <w:rsid w:val="3C49796D"/>
    <w:rsid w:val="3C4C4180"/>
    <w:rsid w:val="3C4F7D80"/>
    <w:rsid w:val="3C64689F"/>
    <w:rsid w:val="3C6E7D4D"/>
    <w:rsid w:val="3C740DAA"/>
    <w:rsid w:val="3C750E34"/>
    <w:rsid w:val="3C7C060E"/>
    <w:rsid w:val="3C7E65EC"/>
    <w:rsid w:val="3C812838"/>
    <w:rsid w:val="3C8555A2"/>
    <w:rsid w:val="3C867450"/>
    <w:rsid w:val="3C890714"/>
    <w:rsid w:val="3C8C0BA7"/>
    <w:rsid w:val="3C9E64A0"/>
    <w:rsid w:val="3CA41337"/>
    <w:rsid w:val="3CA95FB0"/>
    <w:rsid w:val="3CAA38C3"/>
    <w:rsid w:val="3CAA5481"/>
    <w:rsid w:val="3CAC1109"/>
    <w:rsid w:val="3CB338D6"/>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44675"/>
    <w:rsid w:val="3D0B7E6F"/>
    <w:rsid w:val="3D0F1231"/>
    <w:rsid w:val="3D1836CB"/>
    <w:rsid w:val="3D184661"/>
    <w:rsid w:val="3D200D7C"/>
    <w:rsid w:val="3D211EBB"/>
    <w:rsid w:val="3D233D0C"/>
    <w:rsid w:val="3D272F24"/>
    <w:rsid w:val="3D2C35A7"/>
    <w:rsid w:val="3D3662C4"/>
    <w:rsid w:val="3D47670E"/>
    <w:rsid w:val="3D4D7CF8"/>
    <w:rsid w:val="3D58163A"/>
    <w:rsid w:val="3D5A05E2"/>
    <w:rsid w:val="3D5C63D4"/>
    <w:rsid w:val="3D5E50E6"/>
    <w:rsid w:val="3D5F6029"/>
    <w:rsid w:val="3D611CC7"/>
    <w:rsid w:val="3D6223C0"/>
    <w:rsid w:val="3D641D7A"/>
    <w:rsid w:val="3D7618FA"/>
    <w:rsid w:val="3D766E42"/>
    <w:rsid w:val="3D791797"/>
    <w:rsid w:val="3D832B00"/>
    <w:rsid w:val="3D8522AA"/>
    <w:rsid w:val="3D8A0C19"/>
    <w:rsid w:val="3D9816B4"/>
    <w:rsid w:val="3D990197"/>
    <w:rsid w:val="3D9A0655"/>
    <w:rsid w:val="3DA22306"/>
    <w:rsid w:val="3DB17297"/>
    <w:rsid w:val="3DB752E9"/>
    <w:rsid w:val="3DBB6C89"/>
    <w:rsid w:val="3DCD6921"/>
    <w:rsid w:val="3DD67156"/>
    <w:rsid w:val="3DD745F2"/>
    <w:rsid w:val="3DE37514"/>
    <w:rsid w:val="3DE548AC"/>
    <w:rsid w:val="3DE653F8"/>
    <w:rsid w:val="3DE72673"/>
    <w:rsid w:val="3DEB1255"/>
    <w:rsid w:val="3DEE1FBE"/>
    <w:rsid w:val="3E036CEA"/>
    <w:rsid w:val="3E0448CB"/>
    <w:rsid w:val="3E073B6A"/>
    <w:rsid w:val="3E0918A5"/>
    <w:rsid w:val="3E0F25EA"/>
    <w:rsid w:val="3E146F59"/>
    <w:rsid w:val="3E183601"/>
    <w:rsid w:val="3E197897"/>
    <w:rsid w:val="3E22755F"/>
    <w:rsid w:val="3E237BCC"/>
    <w:rsid w:val="3E255AC9"/>
    <w:rsid w:val="3E2C4F4D"/>
    <w:rsid w:val="3E3419DC"/>
    <w:rsid w:val="3E3C5F3C"/>
    <w:rsid w:val="3E3E306A"/>
    <w:rsid w:val="3E454B0D"/>
    <w:rsid w:val="3E463CA5"/>
    <w:rsid w:val="3E4B2DC3"/>
    <w:rsid w:val="3E583BB7"/>
    <w:rsid w:val="3E5A1D01"/>
    <w:rsid w:val="3E5B12DC"/>
    <w:rsid w:val="3E623E46"/>
    <w:rsid w:val="3E63159D"/>
    <w:rsid w:val="3E680BF1"/>
    <w:rsid w:val="3E7A1C88"/>
    <w:rsid w:val="3E8317A2"/>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36AD8"/>
    <w:rsid w:val="3EF535E4"/>
    <w:rsid w:val="3EF62480"/>
    <w:rsid w:val="3EFB57DC"/>
    <w:rsid w:val="3F0572F1"/>
    <w:rsid w:val="3F1425C6"/>
    <w:rsid w:val="3F144192"/>
    <w:rsid w:val="3F1871AF"/>
    <w:rsid w:val="3F217DDA"/>
    <w:rsid w:val="3F2B184D"/>
    <w:rsid w:val="3F2C7646"/>
    <w:rsid w:val="3F421D47"/>
    <w:rsid w:val="3F441B08"/>
    <w:rsid w:val="3F4A4087"/>
    <w:rsid w:val="3F5361F5"/>
    <w:rsid w:val="3F6B3632"/>
    <w:rsid w:val="3F776E0A"/>
    <w:rsid w:val="3F952814"/>
    <w:rsid w:val="3F9B217F"/>
    <w:rsid w:val="3F9C0821"/>
    <w:rsid w:val="3FA41C63"/>
    <w:rsid w:val="3FAB100B"/>
    <w:rsid w:val="3FAB3D87"/>
    <w:rsid w:val="3FAB41A2"/>
    <w:rsid w:val="3FAE47F6"/>
    <w:rsid w:val="3FB03D8B"/>
    <w:rsid w:val="3FB73112"/>
    <w:rsid w:val="3FB77F5A"/>
    <w:rsid w:val="3FBE2230"/>
    <w:rsid w:val="3FC81A07"/>
    <w:rsid w:val="3FD53088"/>
    <w:rsid w:val="3FD53CFE"/>
    <w:rsid w:val="3FD60504"/>
    <w:rsid w:val="3FD9316A"/>
    <w:rsid w:val="3FE210C1"/>
    <w:rsid w:val="3FEB1C22"/>
    <w:rsid w:val="3FEE2117"/>
    <w:rsid w:val="3FFA58A6"/>
    <w:rsid w:val="3FFA5C63"/>
    <w:rsid w:val="400578DF"/>
    <w:rsid w:val="40073561"/>
    <w:rsid w:val="400A1CFC"/>
    <w:rsid w:val="401D6DEE"/>
    <w:rsid w:val="40372C35"/>
    <w:rsid w:val="403870E4"/>
    <w:rsid w:val="403D7C5C"/>
    <w:rsid w:val="40400533"/>
    <w:rsid w:val="40430016"/>
    <w:rsid w:val="4049754C"/>
    <w:rsid w:val="404B2521"/>
    <w:rsid w:val="404F7DEB"/>
    <w:rsid w:val="40572DA6"/>
    <w:rsid w:val="405A424E"/>
    <w:rsid w:val="40692098"/>
    <w:rsid w:val="406D461C"/>
    <w:rsid w:val="406F7D87"/>
    <w:rsid w:val="40825FDB"/>
    <w:rsid w:val="40836EAD"/>
    <w:rsid w:val="40907287"/>
    <w:rsid w:val="409238F2"/>
    <w:rsid w:val="40953EC0"/>
    <w:rsid w:val="40981598"/>
    <w:rsid w:val="40AB3054"/>
    <w:rsid w:val="40AF2B72"/>
    <w:rsid w:val="40BD153A"/>
    <w:rsid w:val="40C3250A"/>
    <w:rsid w:val="40CD7BD8"/>
    <w:rsid w:val="40CE24AF"/>
    <w:rsid w:val="40D07371"/>
    <w:rsid w:val="40D40734"/>
    <w:rsid w:val="40D72999"/>
    <w:rsid w:val="40DF3ABC"/>
    <w:rsid w:val="40E44A66"/>
    <w:rsid w:val="40E75AF0"/>
    <w:rsid w:val="40E87142"/>
    <w:rsid w:val="40F00A85"/>
    <w:rsid w:val="40F1013C"/>
    <w:rsid w:val="40F35427"/>
    <w:rsid w:val="40FE1447"/>
    <w:rsid w:val="41021636"/>
    <w:rsid w:val="41053DED"/>
    <w:rsid w:val="412506DF"/>
    <w:rsid w:val="412857EB"/>
    <w:rsid w:val="4130390D"/>
    <w:rsid w:val="413B1BAB"/>
    <w:rsid w:val="41434504"/>
    <w:rsid w:val="4149456B"/>
    <w:rsid w:val="414F41D7"/>
    <w:rsid w:val="414F7876"/>
    <w:rsid w:val="41515CEC"/>
    <w:rsid w:val="415A0FEF"/>
    <w:rsid w:val="416279BA"/>
    <w:rsid w:val="41653B51"/>
    <w:rsid w:val="416C15E7"/>
    <w:rsid w:val="416E039C"/>
    <w:rsid w:val="416E1B43"/>
    <w:rsid w:val="41706A1C"/>
    <w:rsid w:val="417727AB"/>
    <w:rsid w:val="417F7393"/>
    <w:rsid w:val="41800377"/>
    <w:rsid w:val="41804025"/>
    <w:rsid w:val="418B26ED"/>
    <w:rsid w:val="41931531"/>
    <w:rsid w:val="41986119"/>
    <w:rsid w:val="419B3B43"/>
    <w:rsid w:val="41A63744"/>
    <w:rsid w:val="41A75E97"/>
    <w:rsid w:val="41AC6BA3"/>
    <w:rsid w:val="41AD5F07"/>
    <w:rsid w:val="41B20CD7"/>
    <w:rsid w:val="41B730A3"/>
    <w:rsid w:val="41B737E0"/>
    <w:rsid w:val="41B77B6D"/>
    <w:rsid w:val="41C20F3F"/>
    <w:rsid w:val="41D1580B"/>
    <w:rsid w:val="41D57639"/>
    <w:rsid w:val="41DC5EDF"/>
    <w:rsid w:val="41DD05DE"/>
    <w:rsid w:val="41E4117E"/>
    <w:rsid w:val="41F04C42"/>
    <w:rsid w:val="41F07014"/>
    <w:rsid w:val="41F24303"/>
    <w:rsid w:val="41F52080"/>
    <w:rsid w:val="41F94D40"/>
    <w:rsid w:val="42001B5D"/>
    <w:rsid w:val="420850A2"/>
    <w:rsid w:val="421B1059"/>
    <w:rsid w:val="422370F9"/>
    <w:rsid w:val="42243E7D"/>
    <w:rsid w:val="42294221"/>
    <w:rsid w:val="422C32BD"/>
    <w:rsid w:val="422E207E"/>
    <w:rsid w:val="423038F8"/>
    <w:rsid w:val="424255E1"/>
    <w:rsid w:val="424A277B"/>
    <w:rsid w:val="424C701C"/>
    <w:rsid w:val="42571AE1"/>
    <w:rsid w:val="42637522"/>
    <w:rsid w:val="42697E79"/>
    <w:rsid w:val="427034C5"/>
    <w:rsid w:val="42730E0D"/>
    <w:rsid w:val="427409B9"/>
    <w:rsid w:val="42831021"/>
    <w:rsid w:val="42863926"/>
    <w:rsid w:val="4287026E"/>
    <w:rsid w:val="42873CB7"/>
    <w:rsid w:val="429110B8"/>
    <w:rsid w:val="42915D99"/>
    <w:rsid w:val="4295760D"/>
    <w:rsid w:val="429A29B1"/>
    <w:rsid w:val="429C1606"/>
    <w:rsid w:val="42A87389"/>
    <w:rsid w:val="42B63D6B"/>
    <w:rsid w:val="42B92216"/>
    <w:rsid w:val="42C5796D"/>
    <w:rsid w:val="42D67001"/>
    <w:rsid w:val="42E06A10"/>
    <w:rsid w:val="42EF3BB4"/>
    <w:rsid w:val="42F875D5"/>
    <w:rsid w:val="430A5FFD"/>
    <w:rsid w:val="43112BE5"/>
    <w:rsid w:val="43120C73"/>
    <w:rsid w:val="431B56C6"/>
    <w:rsid w:val="431C7B04"/>
    <w:rsid w:val="432466AA"/>
    <w:rsid w:val="432E5E21"/>
    <w:rsid w:val="4334749B"/>
    <w:rsid w:val="4337110A"/>
    <w:rsid w:val="433C41B8"/>
    <w:rsid w:val="433D2335"/>
    <w:rsid w:val="433F57C3"/>
    <w:rsid w:val="43426A44"/>
    <w:rsid w:val="434660C5"/>
    <w:rsid w:val="43605DCC"/>
    <w:rsid w:val="43614CEE"/>
    <w:rsid w:val="43621947"/>
    <w:rsid w:val="4363090C"/>
    <w:rsid w:val="43664819"/>
    <w:rsid w:val="436A2192"/>
    <w:rsid w:val="436C40C2"/>
    <w:rsid w:val="436D7811"/>
    <w:rsid w:val="438B6310"/>
    <w:rsid w:val="438D7B3E"/>
    <w:rsid w:val="439322F0"/>
    <w:rsid w:val="43964600"/>
    <w:rsid w:val="4397231A"/>
    <w:rsid w:val="439C3431"/>
    <w:rsid w:val="439D0E7C"/>
    <w:rsid w:val="43A26A83"/>
    <w:rsid w:val="43A41643"/>
    <w:rsid w:val="43A62FB8"/>
    <w:rsid w:val="43AA06E9"/>
    <w:rsid w:val="43C0281C"/>
    <w:rsid w:val="43C02B26"/>
    <w:rsid w:val="43D10A40"/>
    <w:rsid w:val="43D67A91"/>
    <w:rsid w:val="43E21F58"/>
    <w:rsid w:val="43E35EF0"/>
    <w:rsid w:val="43F76F69"/>
    <w:rsid w:val="43F90FED"/>
    <w:rsid w:val="43FC0DB2"/>
    <w:rsid w:val="44095B4D"/>
    <w:rsid w:val="440C5D56"/>
    <w:rsid w:val="440E6D56"/>
    <w:rsid w:val="441356E4"/>
    <w:rsid w:val="44153F0C"/>
    <w:rsid w:val="44174583"/>
    <w:rsid w:val="441A5200"/>
    <w:rsid w:val="4425456D"/>
    <w:rsid w:val="44336EAB"/>
    <w:rsid w:val="44393BD3"/>
    <w:rsid w:val="444109FB"/>
    <w:rsid w:val="444E22EA"/>
    <w:rsid w:val="44584267"/>
    <w:rsid w:val="446D5306"/>
    <w:rsid w:val="446E0BE9"/>
    <w:rsid w:val="44705173"/>
    <w:rsid w:val="44740841"/>
    <w:rsid w:val="44757F00"/>
    <w:rsid w:val="4476407C"/>
    <w:rsid w:val="447B4A66"/>
    <w:rsid w:val="447D4136"/>
    <w:rsid w:val="448B5845"/>
    <w:rsid w:val="448C73DD"/>
    <w:rsid w:val="44907237"/>
    <w:rsid w:val="449510AA"/>
    <w:rsid w:val="449D4A2B"/>
    <w:rsid w:val="449D7968"/>
    <w:rsid w:val="44AA6690"/>
    <w:rsid w:val="44B4690B"/>
    <w:rsid w:val="44B53006"/>
    <w:rsid w:val="44BA1648"/>
    <w:rsid w:val="44BB150F"/>
    <w:rsid w:val="44BE4FA9"/>
    <w:rsid w:val="44C43057"/>
    <w:rsid w:val="44C87C0F"/>
    <w:rsid w:val="44D31B1E"/>
    <w:rsid w:val="44DF6F1B"/>
    <w:rsid w:val="44E54BDC"/>
    <w:rsid w:val="44E92DF3"/>
    <w:rsid w:val="44EB42CF"/>
    <w:rsid w:val="44F82D0E"/>
    <w:rsid w:val="451C5E9C"/>
    <w:rsid w:val="452C5F0A"/>
    <w:rsid w:val="453579B0"/>
    <w:rsid w:val="45385EDA"/>
    <w:rsid w:val="453F48AB"/>
    <w:rsid w:val="454036A6"/>
    <w:rsid w:val="45446179"/>
    <w:rsid w:val="454E0AAC"/>
    <w:rsid w:val="454E4F75"/>
    <w:rsid w:val="454E6B7A"/>
    <w:rsid w:val="4551463D"/>
    <w:rsid w:val="45520426"/>
    <w:rsid w:val="45522E35"/>
    <w:rsid w:val="455A7708"/>
    <w:rsid w:val="45630606"/>
    <w:rsid w:val="456C4CA4"/>
    <w:rsid w:val="457736FF"/>
    <w:rsid w:val="45776424"/>
    <w:rsid w:val="45790DCE"/>
    <w:rsid w:val="457E31A2"/>
    <w:rsid w:val="458B757C"/>
    <w:rsid w:val="458B793A"/>
    <w:rsid w:val="458D679F"/>
    <w:rsid w:val="459026D9"/>
    <w:rsid w:val="45917B8A"/>
    <w:rsid w:val="45973BF7"/>
    <w:rsid w:val="459B634C"/>
    <w:rsid w:val="459F2381"/>
    <w:rsid w:val="45A74FA6"/>
    <w:rsid w:val="45B315CE"/>
    <w:rsid w:val="45B64B84"/>
    <w:rsid w:val="45DF3F62"/>
    <w:rsid w:val="45E37678"/>
    <w:rsid w:val="45E526A6"/>
    <w:rsid w:val="45E56E31"/>
    <w:rsid w:val="45E66893"/>
    <w:rsid w:val="45E72548"/>
    <w:rsid w:val="45E826B2"/>
    <w:rsid w:val="45EA2F8B"/>
    <w:rsid w:val="45F4334C"/>
    <w:rsid w:val="460D3781"/>
    <w:rsid w:val="46193C6C"/>
    <w:rsid w:val="46365246"/>
    <w:rsid w:val="463F31EB"/>
    <w:rsid w:val="46466453"/>
    <w:rsid w:val="464871AD"/>
    <w:rsid w:val="464A6F2D"/>
    <w:rsid w:val="465918B0"/>
    <w:rsid w:val="465E5989"/>
    <w:rsid w:val="4662020E"/>
    <w:rsid w:val="466D3070"/>
    <w:rsid w:val="4671651F"/>
    <w:rsid w:val="46787358"/>
    <w:rsid w:val="467929D1"/>
    <w:rsid w:val="4679494F"/>
    <w:rsid w:val="467A6815"/>
    <w:rsid w:val="467B53A9"/>
    <w:rsid w:val="467D5367"/>
    <w:rsid w:val="46866306"/>
    <w:rsid w:val="468A27AC"/>
    <w:rsid w:val="468E6888"/>
    <w:rsid w:val="46914620"/>
    <w:rsid w:val="46963469"/>
    <w:rsid w:val="46981A1E"/>
    <w:rsid w:val="46987D2F"/>
    <w:rsid w:val="46995896"/>
    <w:rsid w:val="469D4ADE"/>
    <w:rsid w:val="469D5DE8"/>
    <w:rsid w:val="46A35C12"/>
    <w:rsid w:val="46A55B0E"/>
    <w:rsid w:val="46A82992"/>
    <w:rsid w:val="46AD7A54"/>
    <w:rsid w:val="46B134DD"/>
    <w:rsid w:val="46B419BE"/>
    <w:rsid w:val="46B640D3"/>
    <w:rsid w:val="46BD5026"/>
    <w:rsid w:val="46CD1F17"/>
    <w:rsid w:val="46D126E3"/>
    <w:rsid w:val="46D67289"/>
    <w:rsid w:val="46DB64CD"/>
    <w:rsid w:val="46DD1D17"/>
    <w:rsid w:val="46E1018C"/>
    <w:rsid w:val="46E53AB0"/>
    <w:rsid w:val="46EB563D"/>
    <w:rsid w:val="46F37479"/>
    <w:rsid w:val="46F44FEA"/>
    <w:rsid w:val="46FC2FE8"/>
    <w:rsid w:val="47033281"/>
    <w:rsid w:val="47065799"/>
    <w:rsid w:val="47073BE8"/>
    <w:rsid w:val="470872CF"/>
    <w:rsid w:val="470D53CA"/>
    <w:rsid w:val="471563E1"/>
    <w:rsid w:val="47167C67"/>
    <w:rsid w:val="47333B1B"/>
    <w:rsid w:val="47351654"/>
    <w:rsid w:val="473D0BD8"/>
    <w:rsid w:val="47457188"/>
    <w:rsid w:val="47497180"/>
    <w:rsid w:val="4763716E"/>
    <w:rsid w:val="47644CFB"/>
    <w:rsid w:val="47666951"/>
    <w:rsid w:val="476825ED"/>
    <w:rsid w:val="47683159"/>
    <w:rsid w:val="476A7D07"/>
    <w:rsid w:val="478E39E5"/>
    <w:rsid w:val="47902B9E"/>
    <w:rsid w:val="479766B4"/>
    <w:rsid w:val="479A472B"/>
    <w:rsid w:val="479D7800"/>
    <w:rsid w:val="47A240A4"/>
    <w:rsid w:val="47AA1593"/>
    <w:rsid w:val="47B44BED"/>
    <w:rsid w:val="47BC3466"/>
    <w:rsid w:val="47D04108"/>
    <w:rsid w:val="47D730B6"/>
    <w:rsid w:val="47DD6A91"/>
    <w:rsid w:val="47E62C82"/>
    <w:rsid w:val="47EB0853"/>
    <w:rsid w:val="47EB5BFA"/>
    <w:rsid w:val="47FA20F9"/>
    <w:rsid w:val="47FF3A74"/>
    <w:rsid w:val="480B7A59"/>
    <w:rsid w:val="48111DC2"/>
    <w:rsid w:val="48156BFB"/>
    <w:rsid w:val="482B39B5"/>
    <w:rsid w:val="482D350F"/>
    <w:rsid w:val="48373BC4"/>
    <w:rsid w:val="48390C89"/>
    <w:rsid w:val="483962B2"/>
    <w:rsid w:val="483C2A8C"/>
    <w:rsid w:val="48424FA1"/>
    <w:rsid w:val="484647AE"/>
    <w:rsid w:val="484928CC"/>
    <w:rsid w:val="484F1901"/>
    <w:rsid w:val="48543E5A"/>
    <w:rsid w:val="48594C05"/>
    <w:rsid w:val="485D5413"/>
    <w:rsid w:val="485D58DA"/>
    <w:rsid w:val="4864535D"/>
    <w:rsid w:val="48740F16"/>
    <w:rsid w:val="48747A97"/>
    <w:rsid w:val="487A2A25"/>
    <w:rsid w:val="487C0397"/>
    <w:rsid w:val="48850976"/>
    <w:rsid w:val="488E25F1"/>
    <w:rsid w:val="48942964"/>
    <w:rsid w:val="48961BB8"/>
    <w:rsid w:val="489B4431"/>
    <w:rsid w:val="489F0E5C"/>
    <w:rsid w:val="489F219E"/>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E677E0"/>
    <w:rsid w:val="48F447F8"/>
    <w:rsid w:val="49004039"/>
    <w:rsid w:val="49046287"/>
    <w:rsid w:val="49065C8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43519"/>
    <w:rsid w:val="495719F4"/>
    <w:rsid w:val="495767CD"/>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21618"/>
    <w:rsid w:val="49A43EE6"/>
    <w:rsid w:val="49AB3DB8"/>
    <w:rsid w:val="49B4201A"/>
    <w:rsid w:val="49BA6924"/>
    <w:rsid w:val="49C20C6C"/>
    <w:rsid w:val="49CE0C89"/>
    <w:rsid w:val="49D93C20"/>
    <w:rsid w:val="49DA3FD3"/>
    <w:rsid w:val="49DA7AB7"/>
    <w:rsid w:val="49E028D9"/>
    <w:rsid w:val="49E46DD1"/>
    <w:rsid w:val="4A0573EC"/>
    <w:rsid w:val="4A06116C"/>
    <w:rsid w:val="4A070E8E"/>
    <w:rsid w:val="4A09499E"/>
    <w:rsid w:val="4A2E7749"/>
    <w:rsid w:val="4A3047FB"/>
    <w:rsid w:val="4A325F1C"/>
    <w:rsid w:val="4A381BA6"/>
    <w:rsid w:val="4A3926E2"/>
    <w:rsid w:val="4A3D25CC"/>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51351"/>
    <w:rsid w:val="4A8953AB"/>
    <w:rsid w:val="4A8B5CEB"/>
    <w:rsid w:val="4A95521B"/>
    <w:rsid w:val="4A970AB1"/>
    <w:rsid w:val="4A971656"/>
    <w:rsid w:val="4AA456B8"/>
    <w:rsid w:val="4AA75186"/>
    <w:rsid w:val="4AAF1B3A"/>
    <w:rsid w:val="4AB113DF"/>
    <w:rsid w:val="4ABB3CDE"/>
    <w:rsid w:val="4AC4256B"/>
    <w:rsid w:val="4AC860DD"/>
    <w:rsid w:val="4ACB4222"/>
    <w:rsid w:val="4AD162A8"/>
    <w:rsid w:val="4AD25C89"/>
    <w:rsid w:val="4AD768C6"/>
    <w:rsid w:val="4AD87758"/>
    <w:rsid w:val="4AE0796F"/>
    <w:rsid w:val="4AE30444"/>
    <w:rsid w:val="4AEC1BF1"/>
    <w:rsid w:val="4AF902F5"/>
    <w:rsid w:val="4AF91EE0"/>
    <w:rsid w:val="4AF94D42"/>
    <w:rsid w:val="4B0107DC"/>
    <w:rsid w:val="4B205D7D"/>
    <w:rsid w:val="4B28587C"/>
    <w:rsid w:val="4B292683"/>
    <w:rsid w:val="4B294C7C"/>
    <w:rsid w:val="4B2B69B0"/>
    <w:rsid w:val="4B354D3D"/>
    <w:rsid w:val="4B376E2E"/>
    <w:rsid w:val="4B385AE2"/>
    <w:rsid w:val="4B3D5656"/>
    <w:rsid w:val="4B3F4861"/>
    <w:rsid w:val="4B406616"/>
    <w:rsid w:val="4B4C459F"/>
    <w:rsid w:val="4B50566A"/>
    <w:rsid w:val="4B53122B"/>
    <w:rsid w:val="4B571002"/>
    <w:rsid w:val="4B5912E9"/>
    <w:rsid w:val="4B5D1DDE"/>
    <w:rsid w:val="4B62415F"/>
    <w:rsid w:val="4B645EAE"/>
    <w:rsid w:val="4B683C6A"/>
    <w:rsid w:val="4B705844"/>
    <w:rsid w:val="4B7224D0"/>
    <w:rsid w:val="4B731C20"/>
    <w:rsid w:val="4B774607"/>
    <w:rsid w:val="4B7A3C96"/>
    <w:rsid w:val="4B7D4F5D"/>
    <w:rsid w:val="4B82716C"/>
    <w:rsid w:val="4B857EC6"/>
    <w:rsid w:val="4B88048D"/>
    <w:rsid w:val="4B8829C1"/>
    <w:rsid w:val="4B8A2918"/>
    <w:rsid w:val="4B901807"/>
    <w:rsid w:val="4B9B25E4"/>
    <w:rsid w:val="4B9E314D"/>
    <w:rsid w:val="4BA10941"/>
    <w:rsid w:val="4BAC6918"/>
    <w:rsid w:val="4BAD4CA2"/>
    <w:rsid w:val="4BB27627"/>
    <w:rsid w:val="4BC456EF"/>
    <w:rsid w:val="4BC647B0"/>
    <w:rsid w:val="4BCB1BAE"/>
    <w:rsid w:val="4BD94F2A"/>
    <w:rsid w:val="4BDF4B49"/>
    <w:rsid w:val="4BE57E16"/>
    <w:rsid w:val="4BE819D0"/>
    <w:rsid w:val="4BE8649D"/>
    <w:rsid w:val="4BF67170"/>
    <w:rsid w:val="4C0236B4"/>
    <w:rsid w:val="4C0C091F"/>
    <w:rsid w:val="4C170C9D"/>
    <w:rsid w:val="4C192F75"/>
    <w:rsid w:val="4C1C0BD6"/>
    <w:rsid w:val="4C1E085C"/>
    <w:rsid w:val="4C1E7AAC"/>
    <w:rsid w:val="4C20259F"/>
    <w:rsid w:val="4C20469A"/>
    <w:rsid w:val="4C312ECF"/>
    <w:rsid w:val="4C3A3408"/>
    <w:rsid w:val="4C3D507E"/>
    <w:rsid w:val="4C422CA7"/>
    <w:rsid w:val="4C427C5C"/>
    <w:rsid w:val="4C5035A1"/>
    <w:rsid w:val="4C5F0B5D"/>
    <w:rsid w:val="4C606F33"/>
    <w:rsid w:val="4C6426ED"/>
    <w:rsid w:val="4C64471A"/>
    <w:rsid w:val="4C6C2FE2"/>
    <w:rsid w:val="4C6D5BD4"/>
    <w:rsid w:val="4C77619E"/>
    <w:rsid w:val="4C860543"/>
    <w:rsid w:val="4C8740CC"/>
    <w:rsid w:val="4C8E48D8"/>
    <w:rsid w:val="4C9538F4"/>
    <w:rsid w:val="4C974009"/>
    <w:rsid w:val="4C9E7719"/>
    <w:rsid w:val="4CA6111C"/>
    <w:rsid w:val="4CA867B8"/>
    <w:rsid w:val="4CB3742C"/>
    <w:rsid w:val="4CB93D09"/>
    <w:rsid w:val="4CC17C3E"/>
    <w:rsid w:val="4CC25B41"/>
    <w:rsid w:val="4CC42462"/>
    <w:rsid w:val="4CC42E37"/>
    <w:rsid w:val="4CC82CB8"/>
    <w:rsid w:val="4CC873B5"/>
    <w:rsid w:val="4CCD5921"/>
    <w:rsid w:val="4CD550D5"/>
    <w:rsid w:val="4CD87AEB"/>
    <w:rsid w:val="4CDA21DD"/>
    <w:rsid w:val="4CE12887"/>
    <w:rsid w:val="4CE472E9"/>
    <w:rsid w:val="4CF04CFC"/>
    <w:rsid w:val="4CF05C74"/>
    <w:rsid w:val="4CF26BC3"/>
    <w:rsid w:val="4CFB51DB"/>
    <w:rsid w:val="4CFC3F2E"/>
    <w:rsid w:val="4D0F1680"/>
    <w:rsid w:val="4D144426"/>
    <w:rsid w:val="4D1D6CA0"/>
    <w:rsid w:val="4D2609C6"/>
    <w:rsid w:val="4D2A26AA"/>
    <w:rsid w:val="4D2A2C09"/>
    <w:rsid w:val="4D2F5C2A"/>
    <w:rsid w:val="4D33448A"/>
    <w:rsid w:val="4D3F4840"/>
    <w:rsid w:val="4D410392"/>
    <w:rsid w:val="4D422D07"/>
    <w:rsid w:val="4D427BBD"/>
    <w:rsid w:val="4D570519"/>
    <w:rsid w:val="4D5A2B9C"/>
    <w:rsid w:val="4D5C5732"/>
    <w:rsid w:val="4D656800"/>
    <w:rsid w:val="4D6C4B60"/>
    <w:rsid w:val="4D6F1DC5"/>
    <w:rsid w:val="4D705706"/>
    <w:rsid w:val="4D7220A0"/>
    <w:rsid w:val="4D76173E"/>
    <w:rsid w:val="4D7D20F7"/>
    <w:rsid w:val="4D8A1210"/>
    <w:rsid w:val="4D8A58C0"/>
    <w:rsid w:val="4D8D11C1"/>
    <w:rsid w:val="4D922BF5"/>
    <w:rsid w:val="4D9B5A29"/>
    <w:rsid w:val="4DA53BC8"/>
    <w:rsid w:val="4DB41824"/>
    <w:rsid w:val="4DB95A69"/>
    <w:rsid w:val="4DBD1F3A"/>
    <w:rsid w:val="4DBD526D"/>
    <w:rsid w:val="4DC31B92"/>
    <w:rsid w:val="4DD776ED"/>
    <w:rsid w:val="4DDF6E13"/>
    <w:rsid w:val="4DE60E50"/>
    <w:rsid w:val="4DEB4734"/>
    <w:rsid w:val="4DEF33CD"/>
    <w:rsid w:val="4DF20FEE"/>
    <w:rsid w:val="4E007E98"/>
    <w:rsid w:val="4E016672"/>
    <w:rsid w:val="4E066F25"/>
    <w:rsid w:val="4E0939E5"/>
    <w:rsid w:val="4E176DF3"/>
    <w:rsid w:val="4E1A2F68"/>
    <w:rsid w:val="4E1E7D0E"/>
    <w:rsid w:val="4E210A5C"/>
    <w:rsid w:val="4E37172D"/>
    <w:rsid w:val="4E3A2C21"/>
    <w:rsid w:val="4E3C0154"/>
    <w:rsid w:val="4E412A4D"/>
    <w:rsid w:val="4E4475F5"/>
    <w:rsid w:val="4E451C79"/>
    <w:rsid w:val="4E530E11"/>
    <w:rsid w:val="4E587463"/>
    <w:rsid w:val="4E5A3449"/>
    <w:rsid w:val="4E6415B7"/>
    <w:rsid w:val="4E68543B"/>
    <w:rsid w:val="4E6906EE"/>
    <w:rsid w:val="4E694E99"/>
    <w:rsid w:val="4E6D1740"/>
    <w:rsid w:val="4E7125DA"/>
    <w:rsid w:val="4E784D1C"/>
    <w:rsid w:val="4E795FE9"/>
    <w:rsid w:val="4E797F06"/>
    <w:rsid w:val="4E8D3751"/>
    <w:rsid w:val="4E8D409B"/>
    <w:rsid w:val="4E904370"/>
    <w:rsid w:val="4E937763"/>
    <w:rsid w:val="4E991182"/>
    <w:rsid w:val="4E9E5BA9"/>
    <w:rsid w:val="4E9F5613"/>
    <w:rsid w:val="4EA9172F"/>
    <w:rsid w:val="4EAC241A"/>
    <w:rsid w:val="4EB67945"/>
    <w:rsid w:val="4ECA2CB3"/>
    <w:rsid w:val="4ED32EBD"/>
    <w:rsid w:val="4EE46F7E"/>
    <w:rsid w:val="4EE61722"/>
    <w:rsid w:val="4EE86D63"/>
    <w:rsid w:val="4EEC3838"/>
    <w:rsid w:val="4EEE11A3"/>
    <w:rsid w:val="4EF07E6E"/>
    <w:rsid w:val="4EF558FA"/>
    <w:rsid w:val="4EFE4EC2"/>
    <w:rsid w:val="4EFF3444"/>
    <w:rsid w:val="4F037BFA"/>
    <w:rsid w:val="4F0441E5"/>
    <w:rsid w:val="4F155F27"/>
    <w:rsid w:val="4F181305"/>
    <w:rsid w:val="4F1A238F"/>
    <w:rsid w:val="4F2C365D"/>
    <w:rsid w:val="4F376D93"/>
    <w:rsid w:val="4F3D4163"/>
    <w:rsid w:val="4F50208E"/>
    <w:rsid w:val="4F6E6F86"/>
    <w:rsid w:val="4F7278C6"/>
    <w:rsid w:val="4F740C10"/>
    <w:rsid w:val="4F764CC2"/>
    <w:rsid w:val="4F7C7CD5"/>
    <w:rsid w:val="4F823D55"/>
    <w:rsid w:val="4F82540B"/>
    <w:rsid w:val="4F85034E"/>
    <w:rsid w:val="4F973AF4"/>
    <w:rsid w:val="4F983E33"/>
    <w:rsid w:val="4F9B5328"/>
    <w:rsid w:val="4FAB2D3A"/>
    <w:rsid w:val="4FAB3627"/>
    <w:rsid w:val="4FAB7893"/>
    <w:rsid w:val="4FB40C2C"/>
    <w:rsid w:val="4FBA52BE"/>
    <w:rsid w:val="4FBA74EE"/>
    <w:rsid w:val="4FBB5569"/>
    <w:rsid w:val="4FBF1E32"/>
    <w:rsid w:val="4FC30DD3"/>
    <w:rsid w:val="4FC71087"/>
    <w:rsid w:val="4FC803AA"/>
    <w:rsid w:val="4FCB45DF"/>
    <w:rsid w:val="4FD365FC"/>
    <w:rsid w:val="4FD62D61"/>
    <w:rsid w:val="4FDC6418"/>
    <w:rsid w:val="4FE13662"/>
    <w:rsid w:val="4FE15781"/>
    <w:rsid w:val="4FE3603D"/>
    <w:rsid w:val="4FF5506D"/>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5736E"/>
    <w:rsid w:val="504B1149"/>
    <w:rsid w:val="5052029B"/>
    <w:rsid w:val="505F1426"/>
    <w:rsid w:val="506309DB"/>
    <w:rsid w:val="50752AF6"/>
    <w:rsid w:val="50771C00"/>
    <w:rsid w:val="508A668E"/>
    <w:rsid w:val="509A3231"/>
    <w:rsid w:val="509C1140"/>
    <w:rsid w:val="509C736A"/>
    <w:rsid w:val="50AD0CED"/>
    <w:rsid w:val="50AF1C59"/>
    <w:rsid w:val="50B139BD"/>
    <w:rsid w:val="50B92297"/>
    <w:rsid w:val="50BD1498"/>
    <w:rsid w:val="50BE1B1D"/>
    <w:rsid w:val="50C371C0"/>
    <w:rsid w:val="50C51F05"/>
    <w:rsid w:val="50C65C4E"/>
    <w:rsid w:val="50C65E30"/>
    <w:rsid w:val="50D228CF"/>
    <w:rsid w:val="50E63519"/>
    <w:rsid w:val="50ED76FB"/>
    <w:rsid w:val="50F568D9"/>
    <w:rsid w:val="50F717C5"/>
    <w:rsid w:val="50FD2A03"/>
    <w:rsid w:val="51077269"/>
    <w:rsid w:val="510D4A1E"/>
    <w:rsid w:val="51121015"/>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8076F"/>
    <w:rsid w:val="5195533B"/>
    <w:rsid w:val="519645E3"/>
    <w:rsid w:val="5199124A"/>
    <w:rsid w:val="519D2F03"/>
    <w:rsid w:val="51AD6F40"/>
    <w:rsid w:val="51BE2EAE"/>
    <w:rsid w:val="51C0716E"/>
    <w:rsid w:val="51C24631"/>
    <w:rsid w:val="51D43598"/>
    <w:rsid w:val="51DA51E8"/>
    <w:rsid w:val="51DA5890"/>
    <w:rsid w:val="51DD11EF"/>
    <w:rsid w:val="51E90CD5"/>
    <w:rsid w:val="51EE7B3E"/>
    <w:rsid w:val="51F51BD1"/>
    <w:rsid w:val="51F96848"/>
    <w:rsid w:val="51FB40B5"/>
    <w:rsid w:val="520724FE"/>
    <w:rsid w:val="52073487"/>
    <w:rsid w:val="520A7B89"/>
    <w:rsid w:val="520E648E"/>
    <w:rsid w:val="521C5D43"/>
    <w:rsid w:val="521D7ED7"/>
    <w:rsid w:val="5239194F"/>
    <w:rsid w:val="524A2F7E"/>
    <w:rsid w:val="52612620"/>
    <w:rsid w:val="526478E1"/>
    <w:rsid w:val="526A546C"/>
    <w:rsid w:val="526F3E5E"/>
    <w:rsid w:val="52790FD9"/>
    <w:rsid w:val="52887A7D"/>
    <w:rsid w:val="52894DE6"/>
    <w:rsid w:val="528C3BFA"/>
    <w:rsid w:val="528C5E23"/>
    <w:rsid w:val="52993DA6"/>
    <w:rsid w:val="529B5EE8"/>
    <w:rsid w:val="529F0D9B"/>
    <w:rsid w:val="52BB795D"/>
    <w:rsid w:val="52CA3D8F"/>
    <w:rsid w:val="52CD21D8"/>
    <w:rsid w:val="52CF0A4A"/>
    <w:rsid w:val="52DC66BA"/>
    <w:rsid w:val="52DC7C0E"/>
    <w:rsid w:val="52DD5B35"/>
    <w:rsid w:val="52DE6D3F"/>
    <w:rsid w:val="52DF42EC"/>
    <w:rsid w:val="52E427EA"/>
    <w:rsid w:val="52EB52A5"/>
    <w:rsid w:val="52EF0051"/>
    <w:rsid w:val="52FC1C88"/>
    <w:rsid w:val="53042A67"/>
    <w:rsid w:val="53047263"/>
    <w:rsid w:val="53112C1D"/>
    <w:rsid w:val="531241BA"/>
    <w:rsid w:val="53155215"/>
    <w:rsid w:val="531621BA"/>
    <w:rsid w:val="531D0F10"/>
    <w:rsid w:val="53207ABD"/>
    <w:rsid w:val="53262D41"/>
    <w:rsid w:val="53290BFD"/>
    <w:rsid w:val="53293966"/>
    <w:rsid w:val="532C389F"/>
    <w:rsid w:val="532F6301"/>
    <w:rsid w:val="533B3642"/>
    <w:rsid w:val="533E0346"/>
    <w:rsid w:val="534246C3"/>
    <w:rsid w:val="534370EE"/>
    <w:rsid w:val="53495ACD"/>
    <w:rsid w:val="535337EC"/>
    <w:rsid w:val="535539AE"/>
    <w:rsid w:val="53556970"/>
    <w:rsid w:val="5366542B"/>
    <w:rsid w:val="536A3511"/>
    <w:rsid w:val="536A5BF3"/>
    <w:rsid w:val="536D41AE"/>
    <w:rsid w:val="536F7573"/>
    <w:rsid w:val="5370597D"/>
    <w:rsid w:val="53763151"/>
    <w:rsid w:val="53794E20"/>
    <w:rsid w:val="537A78AC"/>
    <w:rsid w:val="537D3C2F"/>
    <w:rsid w:val="538C7861"/>
    <w:rsid w:val="5391597D"/>
    <w:rsid w:val="53943B08"/>
    <w:rsid w:val="53945FB6"/>
    <w:rsid w:val="53947DE7"/>
    <w:rsid w:val="539650C0"/>
    <w:rsid w:val="53A106E5"/>
    <w:rsid w:val="53A21F9D"/>
    <w:rsid w:val="53A27D95"/>
    <w:rsid w:val="53A3255B"/>
    <w:rsid w:val="53A911A1"/>
    <w:rsid w:val="53C877C6"/>
    <w:rsid w:val="53D02771"/>
    <w:rsid w:val="53D153F9"/>
    <w:rsid w:val="53DB35A3"/>
    <w:rsid w:val="53DC2808"/>
    <w:rsid w:val="53DF54A9"/>
    <w:rsid w:val="53E04476"/>
    <w:rsid w:val="53E07B00"/>
    <w:rsid w:val="53E27BE1"/>
    <w:rsid w:val="53EC3D29"/>
    <w:rsid w:val="53F90D34"/>
    <w:rsid w:val="54002BFD"/>
    <w:rsid w:val="541942B6"/>
    <w:rsid w:val="542A3FEF"/>
    <w:rsid w:val="542A5504"/>
    <w:rsid w:val="542F7A60"/>
    <w:rsid w:val="54346136"/>
    <w:rsid w:val="544206A3"/>
    <w:rsid w:val="5452765B"/>
    <w:rsid w:val="54550067"/>
    <w:rsid w:val="54570DF5"/>
    <w:rsid w:val="54580F5A"/>
    <w:rsid w:val="54662360"/>
    <w:rsid w:val="54727EEF"/>
    <w:rsid w:val="5478695B"/>
    <w:rsid w:val="54792A7A"/>
    <w:rsid w:val="54860559"/>
    <w:rsid w:val="548810E8"/>
    <w:rsid w:val="54906088"/>
    <w:rsid w:val="54907EF0"/>
    <w:rsid w:val="549438A5"/>
    <w:rsid w:val="549C6534"/>
    <w:rsid w:val="54A14490"/>
    <w:rsid w:val="54A153FA"/>
    <w:rsid w:val="54AB29C5"/>
    <w:rsid w:val="54AB36A1"/>
    <w:rsid w:val="54AF5912"/>
    <w:rsid w:val="54B171C4"/>
    <w:rsid w:val="54B61DA8"/>
    <w:rsid w:val="54B62C99"/>
    <w:rsid w:val="54CC47C4"/>
    <w:rsid w:val="54DF688B"/>
    <w:rsid w:val="54E503E3"/>
    <w:rsid w:val="54E95643"/>
    <w:rsid w:val="550436A3"/>
    <w:rsid w:val="550E6C32"/>
    <w:rsid w:val="551C2E90"/>
    <w:rsid w:val="55291ACC"/>
    <w:rsid w:val="55405E18"/>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10661"/>
    <w:rsid w:val="559310AD"/>
    <w:rsid w:val="559537DA"/>
    <w:rsid w:val="55A13C89"/>
    <w:rsid w:val="55A578C3"/>
    <w:rsid w:val="55A63100"/>
    <w:rsid w:val="55B403DD"/>
    <w:rsid w:val="55B511EE"/>
    <w:rsid w:val="55C0140E"/>
    <w:rsid w:val="55C529C2"/>
    <w:rsid w:val="55CC27C2"/>
    <w:rsid w:val="55CF48E7"/>
    <w:rsid w:val="55D0342A"/>
    <w:rsid w:val="55D50C9C"/>
    <w:rsid w:val="55D849A1"/>
    <w:rsid w:val="55E31A15"/>
    <w:rsid w:val="55E5367A"/>
    <w:rsid w:val="55E6573B"/>
    <w:rsid w:val="55E83D2F"/>
    <w:rsid w:val="5601293F"/>
    <w:rsid w:val="560469FC"/>
    <w:rsid w:val="5609174E"/>
    <w:rsid w:val="56214A7B"/>
    <w:rsid w:val="562E1F90"/>
    <w:rsid w:val="56373380"/>
    <w:rsid w:val="563B616D"/>
    <w:rsid w:val="56436207"/>
    <w:rsid w:val="56456373"/>
    <w:rsid w:val="56580192"/>
    <w:rsid w:val="565B61BB"/>
    <w:rsid w:val="566510CB"/>
    <w:rsid w:val="567215D4"/>
    <w:rsid w:val="567A6CC0"/>
    <w:rsid w:val="567E4F7B"/>
    <w:rsid w:val="568679CF"/>
    <w:rsid w:val="568A736B"/>
    <w:rsid w:val="568D0940"/>
    <w:rsid w:val="568F55E8"/>
    <w:rsid w:val="56902B88"/>
    <w:rsid w:val="56927DA4"/>
    <w:rsid w:val="56A032E3"/>
    <w:rsid w:val="56A04928"/>
    <w:rsid w:val="56A418DC"/>
    <w:rsid w:val="56A50EBB"/>
    <w:rsid w:val="56A83AE3"/>
    <w:rsid w:val="56AB08E7"/>
    <w:rsid w:val="56AB6535"/>
    <w:rsid w:val="56AD339E"/>
    <w:rsid w:val="56B0619F"/>
    <w:rsid w:val="56B16CBD"/>
    <w:rsid w:val="56B96F66"/>
    <w:rsid w:val="56BE75C0"/>
    <w:rsid w:val="56C12AE4"/>
    <w:rsid w:val="56C71CAD"/>
    <w:rsid w:val="56CE5F20"/>
    <w:rsid w:val="56DA3EBA"/>
    <w:rsid w:val="56DE40C5"/>
    <w:rsid w:val="56E30DB5"/>
    <w:rsid w:val="56E33383"/>
    <w:rsid w:val="56E81DBE"/>
    <w:rsid w:val="56ED5E03"/>
    <w:rsid w:val="56FB0134"/>
    <w:rsid w:val="57012351"/>
    <w:rsid w:val="57095761"/>
    <w:rsid w:val="571777C3"/>
    <w:rsid w:val="571B1F7E"/>
    <w:rsid w:val="571D34AC"/>
    <w:rsid w:val="57217EFE"/>
    <w:rsid w:val="57292292"/>
    <w:rsid w:val="572E4793"/>
    <w:rsid w:val="572E7E52"/>
    <w:rsid w:val="57303B99"/>
    <w:rsid w:val="573403E6"/>
    <w:rsid w:val="573459F0"/>
    <w:rsid w:val="573B3910"/>
    <w:rsid w:val="574460A0"/>
    <w:rsid w:val="57484376"/>
    <w:rsid w:val="574B4B12"/>
    <w:rsid w:val="575425F9"/>
    <w:rsid w:val="575A2017"/>
    <w:rsid w:val="575A4412"/>
    <w:rsid w:val="575C5FBB"/>
    <w:rsid w:val="57685F5D"/>
    <w:rsid w:val="57692A18"/>
    <w:rsid w:val="576D6DDF"/>
    <w:rsid w:val="57702374"/>
    <w:rsid w:val="57704138"/>
    <w:rsid w:val="57780ED4"/>
    <w:rsid w:val="57785DAF"/>
    <w:rsid w:val="577E3A90"/>
    <w:rsid w:val="57817828"/>
    <w:rsid w:val="5783620D"/>
    <w:rsid w:val="57886A0D"/>
    <w:rsid w:val="57896321"/>
    <w:rsid w:val="579A7C07"/>
    <w:rsid w:val="579C069B"/>
    <w:rsid w:val="57A46FEE"/>
    <w:rsid w:val="57AF7168"/>
    <w:rsid w:val="57B02763"/>
    <w:rsid w:val="57B6547E"/>
    <w:rsid w:val="57BC7C9C"/>
    <w:rsid w:val="57BF6387"/>
    <w:rsid w:val="57CE152D"/>
    <w:rsid w:val="57D01AAC"/>
    <w:rsid w:val="57DA0D38"/>
    <w:rsid w:val="57DD4E33"/>
    <w:rsid w:val="57DE0A52"/>
    <w:rsid w:val="57DF6500"/>
    <w:rsid w:val="57E60B9B"/>
    <w:rsid w:val="57E73B61"/>
    <w:rsid w:val="57F01737"/>
    <w:rsid w:val="57F73696"/>
    <w:rsid w:val="57F84361"/>
    <w:rsid w:val="58005923"/>
    <w:rsid w:val="5803475B"/>
    <w:rsid w:val="580A6FBE"/>
    <w:rsid w:val="580F5BC1"/>
    <w:rsid w:val="58153B58"/>
    <w:rsid w:val="5822786C"/>
    <w:rsid w:val="58243371"/>
    <w:rsid w:val="58293CFC"/>
    <w:rsid w:val="58302962"/>
    <w:rsid w:val="5835010B"/>
    <w:rsid w:val="583F32E4"/>
    <w:rsid w:val="5846366F"/>
    <w:rsid w:val="584654C9"/>
    <w:rsid w:val="58470241"/>
    <w:rsid w:val="58484F55"/>
    <w:rsid w:val="585249D0"/>
    <w:rsid w:val="58563BF0"/>
    <w:rsid w:val="58590DD2"/>
    <w:rsid w:val="585F0170"/>
    <w:rsid w:val="5863473D"/>
    <w:rsid w:val="586C2A31"/>
    <w:rsid w:val="586E1447"/>
    <w:rsid w:val="5878285F"/>
    <w:rsid w:val="587E2D46"/>
    <w:rsid w:val="588509DD"/>
    <w:rsid w:val="588D555E"/>
    <w:rsid w:val="58937684"/>
    <w:rsid w:val="58953B9F"/>
    <w:rsid w:val="58957A8C"/>
    <w:rsid w:val="589C0BA1"/>
    <w:rsid w:val="589F18E4"/>
    <w:rsid w:val="58A26665"/>
    <w:rsid w:val="58A77FBE"/>
    <w:rsid w:val="58A948C8"/>
    <w:rsid w:val="58B156C4"/>
    <w:rsid w:val="58B8443B"/>
    <w:rsid w:val="58B93814"/>
    <w:rsid w:val="58BC4002"/>
    <w:rsid w:val="58C6178A"/>
    <w:rsid w:val="58DB456A"/>
    <w:rsid w:val="58E909DD"/>
    <w:rsid w:val="58EB1C90"/>
    <w:rsid w:val="58F57D12"/>
    <w:rsid w:val="59094784"/>
    <w:rsid w:val="59267EF0"/>
    <w:rsid w:val="59376E4C"/>
    <w:rsid w:val="593B0CD6"/>
    <w:rsid w:val="59421F7E"/>
    <w:rsid w:val="59424509"/>
    <w:rsid w:val="5948411D"/>
    <w:rsid w:val="594935F2"/>
    <w:rsid w:val="594C2750"/>
    <w:rsid w:val="595C0946"/>
    <w:rsid w:val="59604A5E"/>
    <w:rsid w:val="59642A7A"/>
    <w:rsid w:val="596D32B4"/>
    <w:rsid w:val="59767466"/>
    <w:rsid w:val="59774D3E"/>
    <w:rsid w:val="599024D2"/>
    <w:rsid w:val="599148CE"/>
    <w:rsid w:val="599A1291"/>
    <w:rsid w:val="599E418E"/>
    <w:rsid w:val="59A22883"/>
    <w:rsid w:val="59A24ED6"/>
    <w:rsid w:val="59AE56A3"/>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6592"/>
    <w:rsid w:val="5A2B4BA3"/>
    <w:rsid w:val="5A2D0557"/>
    <w:rsid w:val="5A340B09"/>
    <w:rsid w:val="5A3F3527"/>
    <w:rsid w:val="5A4329D8"/>
    <w:rsid w:val="5A440B9D"/>
    <w:rsid w:val="5A5128C3"/>
    <w:rsid w:val="5A525A46"/>
    <w:rsid w:val="5A575C31"/>
    <w:rsid w:val="5A5C7772"/>
    <w:rsid w:val="5A6336A1"/>
    <w:rsid w:val="5A661C78"/>
    <w:rsid w:val="5A682C88"/>
    <w:rsid w:val="5A6B7C88"/>
    <w:rsid w:val="5A73612A"/>
    <w:rsid w:val="5A754EE0"/>
    <w:rsid w:val="5A877288"/>
    <w:rsid w:val="5A8F76C1"/>
    <w:rsid w:val="5A921A04"/>
    <w:rsid w:val="5A9A0A66"/>
    <w:rsid w:val="5AA541CF"/>
    <w:rsid w:val="5AAF48E4"/>
    <w:rsid w:val="5AB37B27"/>
    <w:rsid w:val="5AB96041"/>
    <w:rsid w:val="5ABA46AD"/>
    <w:rsid w:val="5ABC4831"/>
    <w:rsid w:val="5ABC6BFA"/>
    <w:rsid w:val="5AC366EB"/>
    <w:rsid w:val="5AC43AE0"/>
    <w:rsid w:val="5AC4427C"/>
    <w:rsid w:val="5AD054B7"/>
    <w:rsid w:val="5AD149C0"/>
    <w:rsid w:val="5AD510F0"/>
    <w:rsid w:val="5AF55A9C"/>
    <w:rsid w:val="5AF82FCA"/>
    <w:rsid w:val="5AF8657A"/>
    <w:rsid w:val="5AFE5C3F"/>
    <w:rsid w:val="5B000850"/>
    <w:rsid w:val="5B187495"/>
    <w:rsid w:val="5B1945A0"/>
    <w:rsid w:val="5B1B10FA"/>
    <w:rsid w:val="5B1B5003"/>
    <w:rsid w:val="5B225A79"/>
    <w:rsid w:val="5B2445B5"/>
    <w:rsid w:val="5B2559CC"/>
    <w:rsid w:val="5B2A41C4"/>
    <w:rsid w:val="5B2B5E52"/>
    <w:rsid w:val="5B3336C2"/>
    <w:rsid w:val="5B3E0A56"/>
    <w:rsid w:val="5B492D29"/>
    <w:rsid w:val="5B5159D8"/>
    <w:rsid w:val="5B532679"/>
    <w:rsid w:val="5B570BDE"/>
    <w:rsid w:val="5B5B64C5"/>
    <w:rsid w:val="5B6207A7"/>
    <w:rsid w:val="5B627DC7"/>
    <w:rsid w:val="5B6C5737"/>
    <w:rsid w:val="5B763263"/>
    <w:rsid w:val="5B821CF2"/>
    <w:rsid w:val="5B896F76"/>
    <w:rsid w:val="5B8F287C"/>
    <w:rsid w:val="5B975E5B"/>
    <w:rsid w:val="5B9C0984"/>
    <w:rsid w:val="5BA65080"/>
    <w:rsid w:val="5BA76A78"/>
    <w:rsid w:val="5BB214B7"/>
    <w:rsid w:val="5BB424C4"/>
    <w:rsid w:val="5BB576AD"/>
    <w:rsid w:val="5BBE6EBD"/>
    <w:rsid w:val="5BBF5D91"/>
    <w:rsid w:val="5BC02787"/>
    <w:rsid w:val="5BC52B9A"/>
    <w:rsid w:val="5BCD45FD"/>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25AD5"/>
    <w:rsid w:val="5C3B2DCF"/>
    <w:rsid w:val="5C4913AD"/>
    <w:rsid w:val="5C500AF8"/>
    <w:rsid w:val="5C517866"/>
    <w:rsid w:val="5C523483"/>
    <w:rsid w:val="5C5348B4"/>
    <w:rsid w:val="5C5515CF"/>
    <w:rsid w:val="5C5E033F"/>
    <w:rsid w:val="5C663D77"/>
    <w:rsid w:val="5C6875EE"/>
    <w:rsid w:val="5C6F12DC"/>
    <w:rsid w:val="5C7A2919"/>
    <w:rsid w:val="5C8C7EA5"/>
    <w:rsid w:val="5CB438A1"/>
    <w:rsid w:val="5CBF4297"/>
    <w:rsid w:val="5CC43404"/>
    <w:rsid w:val="5CC72BBC"/>
    <w:rsid w:val="5CC93DAE"/>
    <w:rsid w:val="5CD31EE3"/>
    <w:rsid w:val="5CE1654F"/>
    <w:rsid w:val="5CE21D15"/>
    <w:rsid w:val="5CE47CF9"/>
    <w:rsid w:val="5CEB1D70"/>
    <w:rsid w:val="5CF45558"/>
    <w:rsid w:val="5CF70E19"/>
    <w:rsid w:val="5D00730C"/>
    <w:rsid w:val="5D072BC8"/>
    <w:rsid w:val="5D076525"/>
    <w:rsid w:val="5D0A3A75"/>
    <w:rsid w:val="5D19384D"/>
    <w:rsid w:val="5D22473A"/>
    <w:rsid w:val="5D2678B1"/>
    <w:rsid w:val="5D2B5629"/>
    <w:rsid w:val="5D315CEB"/>
    <w:rsid w:val="5D326462"/>
    <w:rsid w:val="5D3926A3"/>
    <w:rsid w:val="5D3B59DF"/>
    <w:rsid w:val="5D473075"/>
    <w:rsid w:val="5D475E41"/>
    <w:rsid w:val="5D4822EE"/>
    <w:rsid w:val="5D5864DB"/>
    <w:rsid w:val="5D5D42E9"/>
    <w:rsid w:val="5D727A70"/>
    <w:rsid w:val="5D73393B"/>
    <w:rsid w:val="5D76353B"/>
    <w:rsid w:val="5D784379"/>
    <w:rsid w:val="5D7B3457"/>
    <w:rsid w:val="5D8B2715"/>
    <w:rsid w:val="5D8C5978"/>
    <w:rsid w:val="5D8D250E"/>
    <w:rsid w:val="5D8F399C"/>
    <w:rsid w:val="5D8F6111"/>
    <w:rsid w:val="5D915AFD"/>
    <w:rsid w:val="5D9404A9"/>
    <w:rsid w:val="5D9557B5"/>
    <w:rsid w:val="5D991E25"/>
    <w:rsid w:val="5D9A23F4"/>
    <w:rsid w:val="5D9B3C12"/>
    <w:rsid w:val="5D9F6617"/>
    <w:rsid w:val="5D9F7C74"/>
    <w:rsid w:val="5DAB2CF5"/>
    <w:rsid w:val="5DAE2E8C"/>
    <w:rsid w:val="5DAE7F34"/>
    <w:rsid w:val="5DB65502"/>
    <w:rsid w:val="5DCF2885"/>
    <w:rsid w:val="5DD70750"/>
    <w:rsid w:val="5DE44DF4"/>
    <w:rsid w:val="5DED4540"/>
    <w:rsid w:val="5E00720B"/>
    <w:rsid w:val="5E012896"/>
    <w:rsid w:val="5E0825B2"/>
    <w:rsid w:val="5E0A6049"/>
    <w:rsid w:val="5E0C7CC7"/>
    <w:rsid w:val="5E156B70"/>
    <w:rsid w:val="5E1574AD"/>
    <w:rsid w:val="5E1F1992"/>
    <w:rsid w:val="5E21165A"/>
    <w:rsid w:val="5E226508"/>
    <w:rsid w:val="5E2368B5"/>
    <w:rsid w:val="5E344390"/>
    <w:rsid w:val="5E352EB6"/>
    <w:rsid w:val="5E365B28"/>
    <w:rsid w:val="5E365E3C"/>
    <w:rsid w:val="5E400BF0"/>
    <w:rsid w:val="5E4250B0"/>
    <w:rsid w:val="5E4A3E88"/>
    <w:rsid w:val="5E4E539E"/>
    <w:rsid w:val="5E5F0687"/>
    <w:rsid w:val="5E6454D9"/>
    <w:rsid w:val="5E680BE8"/>
    <w:rsid w:val="5E6B7FF0"/>
    <w:rsid w:val="5E783202"/>
    <w:rsid w:val="5E7842EE"/>
    <w:rsid w:val="5E803D55"/>
    <w:rsid w:val="5E854DAE"/>
    <w:rsid w:val="5E9E372D"/>
    <w:rsid w:val="5EA36A9B"/>
    <w:rsid w:val="5EA648E2"/>
    <w:rsid w:val="5EB32415"/>
    <w:rsid w:val="5EB52E6F"/>
    <w:rsid w:val="5EC94A60"/>
    <w:rsid w:val="5ED20056"/>
    <w:rsid w:val="5ED95EEE"/>
    <w:rsid w:val="5EDE33D8"/>
    <w:rsid w:val="5EE55DDE"/>
    <w:rsid w:val="5EF04AC4"/>
    <w:rsid w:val="5EF47473"/>
    <w:rsid w:val="5EF51EEF"/>
    <w:rsid w:val="5EFE064F"/>
    <w:rsid w:val="5F061DE5"/>
    <w:rsid w:val="5F09081F"/>
    <w:rsid w:val="5F1111AD"/>
    <w:rsid w:val="5F121A0D"/>
    <w:rsid w:val="5F1B27DE"/>
    <w:rsid w:val="5F205DAE"/>
    <w:rsid w:val="5F2C64A1"/>
    <w:rsid w:val="5F39582E"/>
    <w:rsid w:val="5F405CF4"/>
    <w:rsid w:val="5F45602C"/>
    <w:rsid w:val="5F4632C4"/>
    <w:rsid w:val="5F482400"/>
    <w:rsid w:val="5F4A58A7"/>
    <w:rsid w:val="5F527FC9"/>
    <w:rsid w:val="5F531ECF"/>
    <w:rsid w:val="5F57147C"/>
    <w:rsid w:val="5F6015E2"/>
    <w:rsid w:val="5F6028D5"/>
    <w:rsid w:val="5F61415F"/>
    <w:rsid w:val="5F646936"/>
    <w:rsid w:val="5F6E7121"/>
    <w:rsid w:val="5F7202DD"/>
    <w:rsid w:val="5F7602E5"/>
    <w:rsid w:val="5F764A5E"/>
    <w:rsid w:val="5F765DFC"/>
    <w:rsid w:val="5F7D66DE"/>
    <w:rsid w:val="5F810033"/>
    <w:rsid w:val="5F844DC9"/>
    <w:rsid w:val="5F8806B8"/>
    <w:rsid w:val="5F8C52DB"/>
    <w:rsid w:val="5F966692"/>
    <w:rsid w:val="5F99467F"/>
    <w:rsid w:val="5FA00A10"/>
    <w:rsid w:val="5FA4374A"/>
    <w:rsid w:val="5FA4380A"/>
    <w:rsid w:val="5FA864E4"/>
    <w:rsid w:val="5FAB674F"/>
    <w:rsid w:val="5FB25387"/>
    <w:rsid w:val="5FC53509"/>
    <w:rsid w:val="5FC6753A"/>
    <w:rsid w:val="5FD20829"/>
    <w:rsid w:val="5FEB0680"/>
    <w:rsid w:val="5FF35B11"/>
    <w:rsid w:val="5FF744A9"/>
    <w:rsid w:val="5FF76947"/>
    <w:rsid w:val="5FFB17C7"/>
    <w:rsid w:val="5FFE6C22"/>
    <w:rsid w:val="60000309"/>
    <w:rsid w:val="600B6B90"/>
    <w:rsid w:val="600C3224"/>
    <w:rsid w:val="600F6605"/>
    <w:rsid w:val="60143AD3"/>
    <w:rsid w:val="60281FCD"/>
    <w:rsid w:val="602876AC"/>
    <w:rsid w:val="603215F4"/>
    <w:rsid w:val="603771DA"/>
    <w:rsid w:val="604C5236"/>
    <w:rsid w:val="604C63FA"/>
    <w:rsid w:val="605006BC"/>
    <w:rsid w:val="605F4F78"/>
    <w:rsid w:val="606162D0"/>
    <w:rsid w:val="60674769"/>
    <w:rsid w:val="607079E9"/>
    <w:rsid w:val="60734371"/>
    <w:rsid w:val="60830460"/>
    <w:rsid w:val="6085543E"/>
    <w:rsid w:val="608B5C80"/>
    <w:rsid w:val="6090649F"/>
    <w:rsid w:val="60907882"/>
    <w:rsid w:val="609258F0"/>
    <w:rsid w:val="6093287A"/>
    <w:rsid w:val="609517E9"/>
    <w:rsid w:val="609A2B73"/>
    <w:rsid w:val="609F1E8C"/>
    <w:rsid w:val="60A0440C"/>
    <w:rsid w:val="60A661C2"/>
    <w:rsid w:val="60B361E4"/>
    <w:rsid w:val="60B77B1A"/>
    <w:rsid w:val="60BA0952"/>
    <w:rsid w:val="60C02A5F"/>
    <w:rsid w:val="60C5483E"/>
    <w:rsid w:val="60C566E2"/>
    <w:rsid w:val="60C867C5"/>
    <w:rsid w:val="60D3354A"/>
    <w:rsid w:val="60D4561F"/>
    <w:rsid w:val="60D67E78"/>
    <w:rsid w:val="60DB0800"/>
    <w:rsid w:val="60DE0DB6"/>
    <w:rsid w:val="60E25F60"/>
    <w:rsid w:val="60E54273"/>
    <w:rsid w:val="60EC61A5"/>
    <w:rsid w:val="60F46839"/>
    <w:rsid w:val="61027740"/>
    <w:rsid w:val="61034098"/>
    <w:rsid w:val="61067A64"/>
    <w:rsid w:val="610B0BAE"/>
    <w:rsid w:val="610C7D1D"/>
    <w:rsid w:val="61105E47"/>
    <w:rsid w:val="6112529A"/>
    <w:rsid w:val="611A7B15"/>
    <w:rsid w:val="611C59F7"/>
    <w:rsid w:val="611F0B09"/>
    <w:rsid w:val="61200AAF"/>
    <w:rsid w:val="612D2321"/>
    <w:rsid w:val="612E7725"/>
    <w:rsid w:val="613F7544"/>
    <w:rsid w:val="61455CF4"/>
    <w:rsid w:val="61466898"/>
    <w:rsid w:val="61527CE8"/>
    <w:rsid w:val="615B2659"/>
    <w:rsid w:val="615E36E9"/>
    <w:rsid w:val="615E3F04"/>
    <w:rsid w:val="61676068"/>
    <w:rsid w:val="616B25D0"/>
    <w:rsid w:val="616C1663"/>
    <w:rsid w:val="616E223F"/>
    <w:rsid w:val="61705DCF"/>
    <w:rsid w:val="617305C5"/>
    <w:rsid w:val="61751F59"/>
    <w:rsid w:val="617C28AF"/>
    <w:rsid w:val="618A6058"/>
    <w:rsid w:val="618B67DE"/>
    <w:rsid w:val="61963257"/>
    <w:rsid w:val="6196670E"/>
    <w:rsid w:val="61972737"/>
    <w:rsid w:val="619C38B4"/>
    <w:rsid w:val="619D0513"/>
    <w:rsid w:val="61A4486B"/>
    <w:rsid w:val="61B33DDF"/>
    <w:rsid w:val="61BB4A1B"/>
    <w:rsid w:val="61BC23E5"/>
    <w:rsid w:val="61CD3107"/>
    <w:rsid w:val="61D21120"/>
    <w:rsid w:val="61E728F9"/>
    <w:rsid w:val="61F3667F"/>
    <w:rsid w:val="61F43F82"/>
    <w:rsid w:val="61FB110C"/>
    <w:rsid w:val="62046DA8"/>
    <w:rsid w:val="620B2B74"/>
    <w:rsid w:val="6210415F"/>
    <w:rsid w:val="62185165"/>
    <w:rsid w:val="621D66D4"/>
    <w:rsid w:val="622157E2"/>
    <w:rsid w:val="62220209"/>
    <w:rsid w:val="622E2CF4"/>
    <w:rsid w:val="622F5ABF"/>
    <w:rsid w:val="62393091"/>
    <w:rsid w:val="623D0C68"/>
    <w:rsid w:val="62460FCD"/>
    <w:rsid w:val="62480FF0"/>
    <w:rsid w:val="624B14C1"/>
    <w:rsid w:val="624F0394"/>
    <w:rsid w:val="6255365B"/>
    <w:rsid w:val="625A29D8"/>
    <w:rsid w:val="625B2CDA"/>
    <w:rsid w:val="625B47C2"/>
    <w:rsid w:val="62630C6B"/>
    <w:rsid w:val="627301E8"/>
    <w:rsid w:val="6295194F"/>
    <w:rsid w:val="6299295E"/>
    <w:rsid w:val="629A07BC"/>
    <w:rsid w:val="62A33CA7"/>
    <w:rsid w:val="62AC2BCD"/>
    <w:rsid w:val="62B94634"/>
    <w:rsid w:val="62BA3B2B"/>
    <w:rsid w:val="62C37511"/>
    <w:rsid w:val="62D11C3F"/>
    <w:rsid w:val="62D67D61"/>
    <w:rsid w:val="62E157FC"/>
    <w:rsid w:val="62E42478"/>
    <w:rsid w:val="62E54A06"/>
    <w:rsid w:val="62E81148"/>
    <w:rsid w:val="62E83A0D"/>
    <w:rsid w:val="62ED1945"/>
    <w:rsid w:val="62F76986"/>
    <w:rsid w:val="62FA3D7F"/>
    <w:rsid w:val="63074CE8"/>
    <w:rsid w:val="631360BB"/>
    <w:rsid w:val="631C3A36"/>
    <w:rsid w:val="63212420"/>
    <w:rsid w:val="632936A9"/>
    <w:rsid w:val="632F06D8"/>
    <w:rsid w:val="63310101"/>
    <w:rsid w:val="63311536"/>
    <w:rsid w:val="63317698"/>
    <w:rsid w:val="63340EAE"/>
    <w:rsid w:val="63387940"/>
    <w:rsid w:val="63443DC2"/>
    <w:rsid w:val="634B6A95"/>
    <w:rsid w:val="634F6CB9"/>
    <w:rsid w:val="635E6984"/>
    <w:rsid w:val="63607B9B"/>
    <w:rsid w:val="63615D3E"/>
    <w:rsid w:val="6367139B"/>
    <w:rsid w:val="63683422"/>
    <w:rsid w:val="636C62BA"/>
    <w:rsid w:val="63821D61"/>
    <w:rsid w:val="63827E36"/>
    <w:rsid w:val="63842477"/>
    <w:rsid w:val="638823F9"/>
    <w:rsid w:val="638B04D2"/>
    <w:rsid w:val="639A118D"/>
    <w:rsid w:val="63A85CD1"/>
    <w:rsid w:val="63AB2A39"/>
    <w:rsid w:val="63B02C42"/>
    <w:rsid w:val="63C51AD9"/>
    <w:rsid w:val="63C54411"/>
    <w:rsid w:val="63C733FE"/>
    <w:rsid w:val="63CD27C8"/>
    <w:rsid w:val="63CD4C2D"/>
    <w:rsid w:val="63CF2629"/>
    <w:rsid w:val="63D40E51"/>
    <w:rsid w:val="63D7699F"/>
    <w:rsid w:val="63D85FCA"/>
    <w:rsid w:val="63D92331"/>
    <w:rsid w:val="63E263F4"/>
    <w:rsid w:val="63E418C9"/>
    <w:rsid w:val="63E94E5A"/>
    <w:rsid w:val="63FB6EC6"/>
    <w:rsid w:val="63FD7654"/>
    <w:rsid w:val="640C2BB6"/>
    <w:rsid w:val="6411454E"/>
    <w:rsid w:val="643D4A68"/>
    <w:rsid w:val="643F3FFC"/>
    <w:rsid w:val="64423D53"/>
    <w:rsid w:val="644A69BC"/>
    <w:rsid w:val="644D6FD8"/>
    <w:rsid w:val="645B5DC0"/>
    <w:rsid w:val="645D3A6B"/>
    <w:rsid w:val="646A06E2"/>
    <w:rsid w:val="646C4EF1"/>
    <w:rsid w:val="646C4FB8"/>
    <w:rsid w:val="64706C6F"/>
    <w:rsid w:val="6471159B"/>
    <w:rsid w:val="64814078"/>
    <w:rsid w:val="648B777B"/>
    <w:rsid w:val="64937D17"/>
    <w:rsid w:val="6494650D"/>
    <w:rsid w:val="64984C13"/>
    <w:rsid w:val="649A6134"/>
    <w:rsid w:val="649D2569"/>
    <w:rsid w:val="64A157DA"/>
    <w:rsid w:val="64A2176B"/>
    <w:rsid w:val="64A51362"/>
    <w:rsid w:val="64A55A03"/>
    <w:rsid w:val="64A62D1B"/>
    <w:rsid w:val="64AD4200"/>
    <w:rsid w:val="64B453B1"/>
    <w:rsid w:val="64BE5702"/>
    <w:rsid w:val="64C16289"/>
    <w:rsid w:val="64CF05E4"/>
    <w:rsid w:val="64D01C31"/>
    <w:rsid w:val="64D93F02"/>
    <w:rsid w:val="64E5543E"/>
    <w:rsid w:val="64E76F6D"/>
    <w:rsid w:val="64EA4517"/>
    <w:rsid w:val="64FC561C"/>
    <w:rsid w:val="64FE0E31"/>
    <w:rsid w:val="650E5543"/>
    <w:rsid w:val="65181463"/>
    <w:rsid w:val="651A5C6A"/>
    <w:rsid w:val="651C38DB"/>
    <w:rsid w:val="65201F4F"/>
    <w:rsid w:val="65204394"/>
    <w:rsid w:val="6522790C"/>
    <w:rsid w:val="652C76EF"/>
    <w:rsid w:val="652D6A57"/>
    <w:rsid w:val="653E78B1"/>
    <w:rsid w:val="65403733"/>
    <w:rsid w:val="654066D8"/>
    <w:rsid w:val="65427957"/>
    <w:rsid w:val="65430291"/>
    <w:rsid w:val="654468BF"/>
    <w:rsid w:val="65465700"/>
    <w:rsid w:val="654C7E43"/>
    <w:rsid w:val="655754CB"/>
    <w:rsid w:val="655E2D72"/>
    <w:rsid w:val="656171FC"/>
    <w:rsid w:val="65635CAF"/>
    <w:rsid w:val="65636611"/>
    <w:rsid w:val="65693075"/>
    <w:rsid w:val="656F1A01"/>
    <w:rsid w:val="6570700F"/>
    <w:rsid w:val="657F0CE6"/>
    <w:rsid w:val="65833C4F"/>
    <w:rsid w:val="658B37B6"/>
    <w:rsid w:val="6590595E"/>
    <w:rsid w:val="65972789"/>
    <w:rsid w:val="6598681A"/>
    <w:rsid w:val="659C17EE"/>
    <w:rsid w:val="65A65E7D"/>
    <w:rsid w:val="65BC6E17"/>
    <w:rsid w:val="65BD3777"/>
    <w:rsid w:val="65BE5ECC"/>
    <w:rsid w:val="65D64BB3"/>
    <w:rsid w:val="65D70270"/>
    <w:rsid w:val="65E01821"/>
    <w:rsid w:val="65E06D72"/>
    <w:rsid w:val="65E156B7"/>
    <w:rsid w:val="65E91B08"/>
    <w:rsid w:val="65F5725F"/>
    <w:rsid w:val="66032E7B"/>
    <w:rsid w:val="66053581"/>
    <w:rsid w:val="660A19B0"/>
    <w:rsid w:val="660E1EEE"/>
    <w:rsid w:val="661026AA"/>
    <w:rsid w:val="661635F6"/>
    <w:rsid w:val="661B703E"/>
    <w:rsid w:val="661D3F49"/>
    <w:rsid w:val="66213A5C"/>
    <w:rsid w:val="6624683A"/>
    <w:rsid w:val="662D2EA4"/>
    <w:rsid w:val="6631571B"/>
    <w:rsid w:val="663D054E"/>
    <w:rsid w:val="66460692"/>
    <w:rsid w:val="6658158E"/>
    <w:rsid w:val="66631FDD"/>
    <w:rsid w:val="666E192A"/>
    <w:rsid w:val="666F6738"/>
    <w:rsid w:val="66727620"/>
    <w:rsid w:val="66763EED"/>
    <w:rsid w:val="667930F9"/>
    <w:rsid w:val="6679372B"/>
    <w:rsid w:val="667B3C56"/>
    <w:rsid w:val="66886429"/>
    <w:rsid w:val="66953491"/>
    <w:rsid w:val="66980BF6"/>
    <w:rsid w:val="66A56CDB"/>
    <w:rsid w:val="66AA30FE"/>
    <w:rsid w:val="66AD65FC"/>
    <w:rsid w:val="66B81454"/>
    <w:rsid w:val="66B86A33"/>
    <w:rsid w:val="66BE1292"/>
    <w:rsid w:val="66BF76F1"/>
    <w:rsid w:val="66D553C4"/>
    <w:rsid w:val="66D61A8D"/>
    <w:rsid w:val="66DA3497"/>
    <w:rsid w:val="66DC5BF8"/>
    <w:rsid w:val="66DE03BA"/>
    <w:rsid w:val="66E173F9"/>
    <w:rsid w:val="66E3226C"/>
    <w:rsid w:val="66E611A7"/>
    <w:rsid w:val="66E80EB0"/>
    <w:rsid w:val="66EC5E36"/>
    <w:rsid w:val="66F569E1"/>
    <w:rsid w:val="66F76034"/>
    <w:rsid w:val="67066C06"/>
    <w:rsid w:val="670E7B80"/>
    <w:rsid w:val="6713591F"/>
    <w:rsid w:val="67181932"/>
    <w:rsid w:val="6726232E"/>
    <w:rsid w:val="6728151A"/>
    <w:rsid w:val="67292022"/>
    <w:rsid w:val="672A4901"/>
    <w:rsid w:val="67331724"/>
    <w:rsid w:val="673360E2"/>
    <w:rsid w:val="67346319"/>
    <w:rsid w:val="67441B08"/>
    <w:rsid w:val="674E2802"/>
    <w:rsid w:val="674F6E76"/>
    <w:rsid w:val="67513E69"/>
    <w:rsid w:val="675A17FE"/>
    <w:rsid w:val="67617AF0"/>
    <w:rsid w:val="67671D7D"/>
    <w:rsid w:val="6768655A"/>
    <w:rsid w:val="676E1585"/>
    <w:rsid w:val="67775952"/>
    <w:rsid w:val="677E2FA1"/>
    <w:rsid w:val="67834615"/>
    <w:rsid w:val="67836FB1"/>
    <w:rsid w:val="678764D7"/>
    <w:rsid w:val="678A12A7"/>
    <w:rsid w:val="678A44B2"/>
    <w:rsid w:val="678C1D52"/>
    <w:rsid w:val="678D19D7"/>
    <w:rsid w:val="67973403"/>
    <w:rsid w:val="67A67078"/>
    <w:rsid w:val="67AC341B"/>
    <w:rsid w:val="67B10069"/>
    <w:rsid w:val="67B42C3D"/>
    <w:rsid w:val="67B861F9"/>
    <w:rsid w:val="67C149C0"/>
    <w:rsid w:val="67C7427D"/>
    <w:rsid w:val="67CA7967"/>
    <w:rsid w:val="67CC38C5"/>
    <w:rsid w:val="67D9695E"/>
    <w:rsid w:val="67DC5CEA"/>
    <w:rsid w:val="67DF18A0"/>
    <w:rsid w:val="67E024C8"/>
    <w:rsid w:val="67F5522D"/>
    <w:rsid w:val="67F73BC6"/>
    <w:rsid w:val="680965F8"/>
    <w:rsid w:val="680C5DAF"/>
    <w:rsid w:val="680E4ECF"/>
    <w:rsid w:val="6811066C"/>
    <w:rsid w:val="68127886"/>
    <w:rsid w:val="68135F70"/>
    <w:rsid w:val="681778E7"/>
    <w:rsid w:val="68181338"/>
    <w:rsid w:val="681B5BF4"/>
    <w:rsid w:val="68240EAA"/>
    <w:rsid w:val="6825323C"/>
    <w:rsid w:val="683178F7"/>
    <w:rsid w:val="68356624"/>
    <w:rsid w:val="683D75A2"/>
    <w:rsid w:val="683F63B6"/>
    <w:rsid w:val="68436C4F"/>
    <w:rsid w:val="68451270"/>
    <w:rsid w:val="684F1282"/>
    <w:rsid w:val="6850356A"/>
    <w:rsid w:val="685465AC"/>
    <w:rsid w:val="68650339"/>
    <w:rsid w:val="68670AE1"/>
    <w:rsid w:val="68733F18"/>
    <w:rsid w:val="687442EE"/>
    <w:rsid w:val="68772A56"/>
    <w:rsid w:val="687835F0"/>
    <w:rsid w:val="687E1768"/>
    <w:rsid w:val="68840103"/>
    <w:rsid w:val="68984F88"/>
    <w:rsid w:val="689B3E14"/>
    <w:rsid w:val="689C59FE"/>
    <w:rsid w:val="689C5C1D"/>
    <w:rsid w:val="689D6F4C"/>
    <w:rsid w:val="689F2FA0"/>
    <w:rsid w:val="68A02CE9"/>
    <w:rsid w:val="68A036C8"/>
    <w:rsid w:val="68A41350"/>
    <w:rsid w:val="68AD26AA"/>
    <w:rsid w:val="68AE2B22"/>
    <w:rsid w:val="68BC14B0"/>
    <w:rsid w:val="68BC512A"/>
    <w:rsid w:val="68BF0078"/>
    <w:rsid w:val="68C20D16"/>
    <w:rsid w:val="68DA02E4"/>
    <w:rsid w:val="68DD619B"/>
    <w:rsid w:val="68EC3A15"/>
    <w:rsid w:val="68ED69A7"/>
    <w:rsid w:val="68F41507"/>
    <w:rsid w:val="68FD5593"/>
    <w:rsid w:val="69073414"/>
    <w:rsid w:val="690C4501"/>
    <w:rsid w:val="6911326A"/>
    <w:rsid w:val="69183F42"/>
    <w:rsid w:val="691B307E"/>
    <w:rsid w:val="691D4548"/>
    <w:rsid w:val="692B3BF3"/>
    <w:rsid w:val="692F1256"/>
    <w:rsid w:val="69301A1D"/>
    <w:rsid w:val="6934218F"/>
    <w:rsid w:val="69397C63"/>
    <w:rsid w:val="693C5AA5"/>
    <w:rsid w:val="693D00F1"/>
    <w:rsid w:val="693E13B7"/>
    <w:rsid w:val="69421566"/>
    <w:rsid w:val="69430240"/>
    <w:rsid w:val="694A6D5C"/>
    <w:rsid w:val="6951205B"/>
    <w:rsid w:val="6953741D"/>
    <w:rsid w:val="69552B47"/>
    <w:rsid w:val="6956014F"/>
    <w:rsid w:val="69667088"/>
    <w:rsid w:val="69696651"/>
    <w:rsid w:val="696F3842"/>
    <w:rsid w:val="69731101"/>
    <w:rsid w:val="6974083C"/>
    <w:rsid w:val="697D087B"/>
    <w:rsid w:val="69807B1E"/>
    <w:rsid w:val="699562F0"/>
    <w:rsid w:val="69A058E9"/>
    <w:rsid w:val="69A71B52"/>
    <w:rsid w:val="69A7770D"/>
    <w:rsid w:val="69A966F8"/>
    <w:rsid w:val="69AC0B64"/>
    <w:rsid w:val="69B27491"/>
    <w:rsid w:val="69B27C94"/>
    <w:rsid w:val="69BA2288"/>
    <w:rsid w:val="69BB7CE2"/>
    <w:rsid w:val="69C2365E"/>
    <w:rsid w:val="69D2134C"/>
    <w:rsid w:val="69D537ED"/>
    <w:rsid w:val="69DC3AC1"/>
    <w:rsid w:val="69E6402E"/>
    <w:rsid w:val="69E673F8"/>
    <w:rsid w:val="69EA6C64"/>
    <w:rsid w:val="69EB2120"/>
    <w:rsid w:val="69EF180F"/>
    <w:rsid w:val="69F00B35"/>
    <w:rsid w:val="69F10C55"/>
    <w:rsid w:val="69F139B8"/>
    <w:rsid w:val="69F224F8"/>
    <w:rsid w:val="69F3045E"/>
    <w:rsid w:val="69F3790F"/>
    <w:rsid w:val="6A036F5F"/>
    <w:rsid w:val="6A12415B"/>
    <w:rsid w:val="6A152CC8"/>
    <w:rsid w:val="6A172663"/>
    <w:rsid w:val="6A1D05D4"/>
    <w:rsid w:val="6A223139"/>
    <w:rsid w:val="6A245089"/>
    <w:rsid w:val="6A25601C"/>
    <w:rsid w:val="6A2747BB"/>
    <w:rsid w:val="6A2750C5"/>
    <w:rsid w:val="6A290AA5"/>
    <w:rsid w:val="6A2A46CE"/>
    <w:rsid w:val="6A2F521E"/>
    <w:rsid w:val="6A344359"/>
    <w:rsid w:val="6A3A1167"/>
    <w:rsid w:val="6A3D030C"/>
    <w:rsid w:val="6A3F4FDB"/>
    <w:rsid w:val="6A464718"/>
    <w:rsid w:val="6A4F41B2"/>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B31D6"/>
    <w:rsid w:val="6AAD09E5"/>
    <w:rsid w:val="6AAF2259"/>
    <w:rsid w:val="6AB45A03"/>
    <w:rsid w:val="6ABE4FFD"/>
    <w:rsid w:val="6AD909E0"/>
    <w:rsid w:val="6ADC49EF"/>
    <w:rsid w:val="6ADD4FD8"/>
    <w:rsid w:val="6ADD71F3"/>
    <w:rsid w:val="6AE26C27"/>
    <w:rsid w:val="6AED013C"/>
    <w:rsid w:val="6AEE59AB"/>
    <w:rsid w:val="6AF02673"/>
    <w:rsid w:val="6AF159FF"/>
    <w:rsid w:val="6AF57F3A"/>
    <w:rsid w:val="6AF63F29"/>
    <w:rsid w:val="6AFB7DF3"/>
    <w:rsid w:val="6AFE4F30"/>
    <w:rsid w:val="6B0A6E35"/>
    <w:rsid w:val="6B0D0481"/>
    <w:rsid w:val="6B0E002C"/>
    <w:rsid w:val="6B11682D"/>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76A94"/>
    <w:rsid w:val="6B6C560D"/>
    <w:rsid w:val="6B705E52"/>
    <w:rsid w:val="6B735BFD"/>
    <w:rsid w:val="6B785D05"/>
    <w:rsid w:val="6B7F7BD7"/>
    <w:rsid w:val="6B846AF2"/>
    <w:rsid w:val="6B95396B"/>
    <w:rsid w:val="6BAC0EF7"/>
    <w:rsid w:val="6BB44626"/>
    <w:rsid w:val="6BB53D09"/>
    <w:rsid w:val="6BBB00B1"/>
    <w:rsid w:val="6BBD3E9D"/>
    <w:rsid w:val="6BC03721"/>
    <w:rsid w:val="6BC51A97"/>
    <w:rsid w:val="6BCC01D5"/>
    <w:rsid w:val="6BCF2DCA"/>
    <w:rsid w:val="6BD12C14"/>
    <w:rsid w:val="6BD72624"/>
    <w:rsid w:val="6BDD0493"/>
    <w:rsid w:val="6BDE54AC"/>
    <w:rsid w:val="6BE068F6"/>
    <w:rsid w:val="6BE072B5"/>
    <w:rsid w:val="6BEC52EB"/>
    <w:rsid w:val="6BEF7534"/>
    <w:rsid w:val="6BF229CE"/>
    <w:rsid w:val="6BF25C39"/>
    <w:rsid w:val="6BF45555"/>
    <w:rsid w:val="6C06150E"/>
    <w:rsid w:val="6C072806"/>
    <w:rsid w:val="6C140094"/>
    <w:rsid w:val="6C155F31"/>
    <w:rsid w:val="6C206E21"/>
    <w:rsid w:val="6C263A06"/>
    <w:rsid w:val="6C3A624E"/>
    <w:rsid w:val="6C3F4795"/>
    <w:rsid w:val="6C431738"/>
    <w:rsid w:val="6C505966"/>
    <w:rsid w:val="6C5D04BB"/>
    <w:rsid w:val="6C666C3C"/>
    <w:rsid w:val="6C6833E1"/>
    <w:rsid w:val="6C6D48B6"/>
    <w:rsid w:val="6C8035BD"/>
    <w:rsid w:val="6C8E4315"/>
    <w:rsid w:val="6C95615F"/>
    <w:rsid w:val="6CA94419"/>
    <w:rsid w:val="6CB242A2"/>
    <w:rsid w:val="6CC818AD"/>
    <w:rsid w:val="6CE0612A"/>
    <w:rsid w:val="6CE269D3"/>
    <w:rsid w:val="6CEC448A"/>
    <w:rsid w:val="6CED284E"/>
    <w:rsid w:val="6CF04EB7"/>
    <w:rsid w:val="6CF17872"/>
    <w:rsid w:val="6CF76712"/>
    <w:rsid w:val="6CFD23D1"/>
    <w:rsid w:val="6D033EFD"/>
    <w:rsid w:val="6D0652BF"/>
    <w:rsid w:val="6D0A7734"/>
    <w:rsid w:val="6D0B0E35"/>
    <w:rsid w:val="6D0D6D19"/>
    <w:rsid w:val="6D273B17"/>
    <w:rsid w:val="6D274676"/>
    <w:rsid w:val="6D2B4EB6"/>
    <w:rsid w:val="6D2F4B50"/>
    <w:rsid w:val="6D385ED1"/>
    <w:rsid w:val="6D3967DF"/>
    <w:rsid w:val="6D3B5F83"/>
    <w:rsid w:val="6D3C14B2"/>
    <w:rsid w:val="6D436625"/>
    <w:rsid w:val="6D4720E6"/>
    <w:rsid w:val="6D4A7F79"/>
    <w:rsid w:val="6D4B7436"/>
    <w:rsid w:val="6D5C266B"/>
    <w:rsid w:val="6D5E64E8"/>
    <w:rsid w:val="6D652ED0"/>
    <w:rsid w:val="6D662717"/>
    <w:rsid w:val="6D663299"/>
    <w:rsid w:val="6D692F54"/>
    <w:rsid w:val="6D770FC8"/>
    <w:rsid w:val="6D7D5646"/>
    <w:rsid w:val="6D816186"/>
    <w:rsid w:val="6D90338E"/>
    <w:rsid w:val="6D925740"/>
    <w:rsid w:val="6D9B55C3"/>
    <w:rsid w:val="6D9D3EE4"/>
    <w:rsid w:val="6D9E7C69"/>
    <w:rsid w:val="6DA71839"/>
    <w:rsid w:val="6DA84071"/>
    <w:rsid w:val="6DB20233"/>
    <w:rsid w:val="6DB81D13"/>
    <w:rsid w:val="6DC54D30"/>
    <w:rsid w:val="6DC65806"/>
    <w:rsid w:val="6DD87B1A"/>
    <w:rsid w:val="6DDF0294"/>
    <w:rsid w:val="6DDF0A92"/>
    <w:rsid w:val="6DE9618F"/>
    <w:rsid w:val="6DED02CD"/>
    <w:rsid w:val="6DF07F1A"/>
    <w:rsid w:val="6DF6740D"/>
    <w:rsid w:val="6DF92BCB"/>
    <w:rsid w:val="6DFB06CC"/>
    <w:rsid w:val="6DFB37B9"/>
    <w:rsid w:val="6E035B81"/>
    <w:rsid w:val="6E054349"/>
    <w:rsid w:val="6E0F0D37"/>
    <w:rsid w:val="6E0F320E"/>
    <w:rsid w:val="6E114B44"/>
    <w:rsid w:val="6E131686"/>
    <w:rsid w:val="6E1B4CD0"/>
    <w:rsid w:val="6E1C2489"/>
    <w:rsid w:val="6E225993"/>
    <w:rsid w:val="6E2A0DD8"/>
    <w:rsid w:val="6E2D4479"/>
    <w:rsid w:val="6E35742E"/>
    <w:rsid w:val="6E376A3A"/>
    <w:rsid w:val="6E3E181B"/>
    <w:rsid w:val="6E3F1C0F"/>
    <w:rsid w:val="6E484191"/>
    <w:rsid w:val="6E4E0EC4"/>
    <w:rsid w:val="6E561494"/>
    <w:rsid w:val="6E567CD0"/>
    <w:rsid w:val="6E6224C4"/>
    <w:rsid w:val="6E633CB5"/>
    <w:rsid w:val="6E642A60"/>
    <w:rsid w:val="6E7106EF"/>
    <w:rsid w:val="6E72570E"/>
    <w:rsid w:val="6E785A45"/>
    <w:rsid w:val="6E796FC0"/>
    <w:rsid w:val="6E917497"/>
    <w:rsid w:val="6E9B1491"/>
    <w:rsid w:val="6EA13305"/>
    <w:rsid w:val="6EAB29FB"/>
    <w:rsid w:val="6EB32B7F"/>
    <w:rsid w:val="6EB46F18"/>
    <w:rsid w:val="6EB63507"/>
    <w:rsid w:val="6EBD4DFF"/>
    <w:rsid w:val="6EC23093"/>
    <w:rsid w:val="6EC23231"/>
    <w:rsid w:val="6EC310A5"/>
    <w:rsid w:val="6EC43237"/>
    <w:rsid w:val="6EC73357"/>
    <w:rsid w:val="6EC737C7"/>
    <w:rsid w:val="6ED163C0"/>
    <w:rsid w:val="6ED266F7"/>
    <w:rsid w:val="6EE939F2"/>
    <w:rsid w:val="6F021829"/>
    <w:rsid w:val="6F08724A"/>
    <w:rsid w:val="6F14289F"/>
    <w:rsid w:val="6F162C84"/>
    <w:rsid w:val="6F28223D"/>
    <w:rsid w:val="6F28474F"/>
    <w:rsid w:val="6F350882"/>
    <w:rsid w:val="6F35635E"/>
    <w:rsid w:val="6F3713E9"/>
    <w:rsid w:val="6F384951"/>
    <w:rsid w:val="6F4848E3"/>
    <w:rsid w:val="6F4876AF"/>
    <w:rsid w:val="6F537FC0"/>
    <w:rsid w:val="6F607895"/>
    <w:rsid w:val="6F61040C"/>
    <w:rsid w:val="6F6776E1"/>
    <w:rsid w:val="6F702CF5"/>
    <w:rsid w:val="6F7A0C79"/>
    <w:rsid w:val="6F7E1B78"/>
    <w:rsid w:val="6F9C5D71"/>
    <w:rsid w:val="6FA3781E"/>
    <w:rsid w:val="6FAC61CF"/>
    <w:rsid w:val="6FAF5C06"/>
    <w:rsid w:val="6FB32C37"/>
    <w:rsid w:val="6FB415FB"/>
    <w:rsid w:val="6FB80EE8"/>
    <w:rsid w:val="6FC0781E"/>
    <w:rsid w:val="6FD36624"/>
    <w:rsid w:val="6FE53444"/>
    <w:rsid w:val="6FE76FE3"/>
    <w:rsid w:val="6FF12E68"/>
    <w:rsid w:val="6FF1528E"/>
    <w:rsid w:val="6FF561D1"/>
    <w:rsid w:val="700C0460"/>
    <w:rsid w:val="701458A7"/>
    <w:rsid w:val="70152C7C"/>
    <w:rsid w:val="70170F2B"/>
    <w:rsid w:val="701830B7"/>
    <w:rsid w:val="701E2FAB"/>
    <w:rsid w:val="70206C25"/>
    <w:rsid w:val="702267D2"/>
    <w:rsid w:val="702E281A"/>
    <w:rsid w:val="70370653"/>
    <w:rsid w:val="70385F59"/>
    <w:rsid w:val="70387A8F"/>
    <w:rsid w:val="70494AF1"/>
    <w:rsid w:val="704A6916"/>
    <w:rsid w:val="70562B9B"/>
    <w:rsid w:val="70613B46"/>
    <w:rsid w:val="70680AC8"/>
    <w:rsid w:val="70684400"/>
    <w:rsid w:val="706D51B8"/>
    <w:rsid w:val="70712877"/>
    <w:rsid w:val="70767F2C"/>
    <w:rsid w:val="70785A86"/>
    <w:rsid w:val="707E62BB"/>
    <w:rsid w:val="70910C43"/>
    <w:rsid w:val="70992BBC"/>
    <w:rsid w:val="709E4E34"/>
    <w:rsid w:val="709E640C"/>
    <w:rsid w:val="70A106DA"/>
    <w:rsid w:val="70A156F4"/>
    <w:rsid w:val="70AC0E63"/>
    <w:rsid w:val="70AD5CCA"/>
    <w:rsid w:val="70AF55CD"/>
    <w:rsid w:val="70B56633"/>
    <w:rsid w:val="70BB0D3E"/>
    <w:rsid w:val="70C52734"/>
    <w:rsid w:val="70C84253"/>
    <w:rsid w:val="70CA126A"/>
    <w:rsid w:val="70CB6779"/>
    <w:rsid w:val="70CE384D"/>
    <w:rsid w:val="70CF3906"/>
    <w:rsid w:val="70D842EC"/>
    <w:rsid w:val="70D91094"/>
    <w:rsid w:val="70DB76EF"/>
    <w:rsid w:val="70E11466"/>
    <w:rsid w:val="70E47264"/>
    <w:rsid w:val="70F04773"/>
    <w:rsid w:val="710524E2"/>
    <w:rsid w:val="710B03C6"/>
    <w:rsid w:val="7110727C"/>
    <w:rsid w:val="711604AB"/>
    <w:rsid w:val="712762EB"/>
    <w:rsid w:val="71297C14"/>
    <w:rsid w:val="712B6159"/>
    <w:rsid w:val="712D2ADB"/>
    <w:rsid w:val="712D4159"/>
    <w:rsid w:val="712D5738"/>
    <w:rsid w:val="71346CB6"/>
    <w:rsid w:val="71352E38"/>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7E17B1"/>
    <w:rsid w:val="7183292B"/>
    <w:rsid w:val="71890883"/>
    <w:rsid w:val="718B3A9F"/>
    <w:rsid w:val="718C40B8"/>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397B"/>
    <w:rsid w:val="71E346E4"/>
    <w:rsid w:val="71E56A62"/>
    <w:rsid w:val="71E767FC"/>
    <w:rsid w:val="71EF5D41"/>
    <w:rsid w:val="71FC70DF"/>
    <w:rsid w:val="72056436"/>
    <w:rsid w:val="720979A0"/>
    <w:rsid w:val="720F633E"/>
    <w:rsid w:val="72130B93"/>
    <w:rsid w:val="721C688B"/>
    <w:rsid w:val="72200AF0"/>
    <w:rsid w:val="72236626"/>
    <w:rsid w:val="722E7DFE"/>
    <w:rsid w:val="723749D7"/>
    <w:rsid w:val="7240738A"/>
    <w:rsid w:val="724E54F1"/>
    <w:rsid w:val="7254202A"/>
    <w:rsid w:val="72632A3F"/>
    <w:rsid w:val="727334E4"/>
    <w:rsid w:val="72756082"/>
    <w:rsid w:val="72772DDB"/>
    <w:rsid w:val="727B2E39"/>
    <w:rsid w:val="72827328"/>
    <w:rsid w:val="72851C47"/>
    <w:rsid w:val="728B2CA4"/>
    <w:rsid w:val="728B509F"/>
    <w:rsid w:val="728F0A31"/>
    <w:rsid w:val="729A297B"/>
    <w:rsid w:val="72A310CE"/>
    <w:rsid w:val="72A60BAC"/>
    <w:rsid w:val="72B23B41"/>
    <w:rsid w:val="72B5351F"/>
    <w:rsid w:val="72B554F8"/>
    <w:rsid w:val="72B751B8"/>
    <w:rsid w:val="72CE3184"/>
    <w:rsid w:val="72CE7D06"/>
    <w:rsid w:val="72CF40C2"/>
    <w:rsid w:val="72D456A5"/>
    <w:rsid w:val="72E70D52"/>
    <w:rsid w:val="72EA6B66"/>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C705A"/>
    <w:rsid w:val="736411CC"/>
    <w:rsid w:val="73690216"/>
    <w:rsid w:val="736A02D8"/>
    <w:rsid w:val="736C1945"/>
    <w:rsid w:val="737F6222"/>
    <w:rsid w:val="73814AA3"/>
    <w:rsid w:val="73893467"/>
    <w:rsid w:val="738A36E1"/>
    <w:rsid w:val="73912A81"/>
    <w:rsid w:val="73970334"/>
    <w:rsid w:val="739B1EFF"/>
    <w:rsid w:val="73A16D22"/>
    <w:rsid w:val="73B1400F"/>
    <w:rsid w:val="73B4548F"/>
    <w:rsid w:val="73B7366A"/>
    <w:rsid w:val="73BA064C"/>
    <w:rsid w:val="73BB3C6E"/>
    <w:rsid w:val="73CE1997"/>
    <w:rsid w:val="73D260A7"/>
    <w:rsid w:val="73D62143"/>
    <w:rsid w:val="73DB45F5"/>
    <w:rsid w:val="73DD3CB3"/>
    <w:rsid w:val="73DE1AB7"/>
    <w:rsid w:val="73E44595"/>
    <w:rsid w:val="73EC7C9D"/>
    <w:rsid w:val="73EE33F4"/>
    <w:rsid w:val="73EE6F0E"/>
    <w:rsid w:val="73F5257C"/>
    <w:rsid w:val="73F67B1C"/>
    <w:rsid w:val="73FF2CB2"/>
    <w:rsid w:val="74024FF5"/>
    <w:rsid w:val="7407051F"/>
    <w:rsid w:val="740D7326"/>
    <w:rsid w:val="740E71A7"/>
    <w:rsid w:val="741076D1"/>
    <w:rsid w:val="74115578"/>
    <w:rsid w:val="74141C1A"/>
    <w:rsid w:val="74215D04"/>
    <w:rsid w:val="74257C35"/>
    <w:rsid w:val="742A0965"/>
    <w:rsid w:val="742D019C"/>
    <w:rsid w:val="742D6DB6"/>
    <w:rsid w:val="742E74D7"/>
    <w:rsid w:val="74460D15"/>
    <w:rsid w:val="744642D9"/>
    <w:rsid w:val="74522D94"/>
    <w:rsid w:val="746B086B"/>
    <w:rsid w:val="746C430C"/>
    <w:rsid w:val="74775754"/>
    <w:rsid w:val="748C013B"/>
    <w:rsid w:val="749D5800"/>
    <w:rsid w:val="749F2843"/>
    <w:rsid w:val="74A73312"/>
    <w:rsid w:val="74B06962"/>
    <w:rsid w:val="74B32215"/>
    <w:rsid w:val="74BC7516"/>
    <w:rsid w:val="74C0607C"/>
    <w:rsid w:val="74C46840"/>
    <w:rsid w:val="74D575AA"/>
    <w:rsid w:val="74D71DDE"/>
    <w:rsid w:val="74DA7956"/>
    <w:rsid w:val="74E11F86"/>
    <w:rsid w:val="74F02C99"/>
    <w:rsid w:val="74FB509B"/>
    <w:rsid w:val="74FB6035"/>
    <w:rsid w:val="7502618E"/>
    <w:rsid w:val="750934A8"/>
    <w:rsid w:val="750A15E4"/>
    <w:rsid w:val="750C76FA"/>
    <w:rsid w:val="752B3381"/>
    <w:rsid w:val="75325694"/>
    <w:rsid w:val="75354F63"/>
    <w:rsid w:val="75376E15"/>
    <w:rsid w:val="75387284"/>
    <w:rsid w:val="75393EFF"/>
    <w:rsid w:val="753B454F"/>
    <w:rsid w:val="75441B17"/>
    <w:rsid w:val="75457EFF"/>
    <w:rsid w:val="7554481F"/>
    <w:rsid w:val="75576C0C"/>
    <w:rsid w:val="75594581"/>
    <w:rsid w:val="755A5494"/>
    <w:rsid w:val="75625A16"/>
    <w:rsid w:val="7564200E"/>
    <w:rsid w:val="75663FD1"/>
    <w:rsid w:val="757540E3"/>
    <w:rsid w:val="757A1AA1"/>
    <w:rsid w:val="75912385"/>
    <w:rsid w:val="75964525"/>
    <w:rsid w:val="759739B3"/>
    <w:rsid w:val="759B02AD"/>
    <w:rsid w:val="759B0C43"/>
    <w:rsid w:val="759B5CAF"/>
    <w:rsid w:val="75A53BC6"/>
    <w:rsid w:val="75C123A7"/>
    <w:rsid w:val="75C1550C"/>
    <w:rsid w:val="75CC74C8"/>
    <w:rsid w:val="75CD2584"/>
    <w:rsid w:val="75D1230F"/>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57092"/>
    <w:rsid w:val="762C6584"/>
    <w:rsid w:val="762D70E7"/>
    <w:rsid w:val="7630359D"/>
    <w:rsid w:val="763B42FB"/>
    <w:rsid w:val="763D4BE9"/>
    <w:rsid w:val="763F1F92"/>
    <w:rsid w:val="76424474"/>
    <w:rsid w:val="76437632"/>
    <w:rsid w:val="76451CD6"/>
    <w:rsid w:val="76452780"/>
    <w:rsid w:val="764F7670"/>
    <w:rsid w:val="76526C65"/>
    <w:rsid w:val="76587361"/>
    <w:rsid w:val="765C1B59"/>
    <w:rsid w:val="765F0FBA"/>
    <w:rsid w:val="766314AA"/>
    <w:rsid w:val="76674D6A"/>
    <w:rsid w:val="76690632"/>
    <w:rsid w:val="766930C5"/>
    <w:rsid w:val="767469E2"/>
    <w:rsid w:val="76775F0B"/>
    <w:rsid w:val="767E2DAC"/>
    <w:rsid w:val="767F3C48"/>
    <w:rsid w:val="7682150E"/>
    <w:rsid w:val="76834FD8"/>
    <w:rsid w:val="768704BF"/>
    <w:rsid w:val="76894819"/>
    <w:rsid w:val="768D57E3"/>
    <w:rsid w:val="769310D2"/>
    <w:rsid w:val="76932317"/>
    <w:rsid w:val="76A53B61"/>
    <w:rsid w:val="76A56898"/>
    <w:rsid w:val="76A85DBC"/>
    <w:rsid w:val="76B153BA"/>
    <w:rsid w:val="76B8672D"/>
    <w:rsid w:val="76BE7B18"/>
    <w:rsid w:val="76C72CA0"/>
    <w:rsid w:val="76D03F82"/>
    <w:rsid w:val="76ED0EF4"/>
    <w:rsid w:val="76F2295F"/>
    <w:rsid w:val="76F311F6"/>
    <w:rsid w:val="76F50A9F"/>
    <w:rsid w:val="76FD2D1D"/>
    <w:rsid w:val="770F088C"/>
    <w:rsid w:val="77187F65"/>
    <w:rsid w:val="772646B7"/>
    <w:rsid w:val="77284F7D"/>
    <w:rsid w:val="7729766A"/>
    <w:rsid w:val="772C6525"/>
    <w:rsid w:val="772D35A6"/>
    <w:rsid w:val="772D3786"/>
    <w:rsid w:val="773A62B8"/>
    <w:rsid w:val="77422DC5"/>
    <w:rsid w:val="7743723B"/>
    <w:rsid w:val="77490C6C"/>
    <w:rsid w:val="774B3934"/>
    <w:rsid w:val="774D47BD"/>
    <w:rsid w:val="77551F00"/>
    <w:rsid w:val="77623E7A"/>
    <w:rsid w:val="77650E66"/>
    <w:rsid w:val="776A53C0"/>
    <w:rsid w:val="77721E49"/>
    <w:rsid w:val="777B5F51"/>
    <w:rsid w:val="777D53E6"/>
    <w:rsid w:val="777E1FE2"/>
    <w:rsid w:val="778067C2"/>
    <w:rsid w:val="77847A56"/>
    <w:rsid w:val="778F0D7D"/>
    <w:rsid w:val="778F49BD"/>
    <w:rsid w:val="77966F4C"/>
    <w:rsid w:val="77976274"/>
    <w:rsid w:val="779D7890"/>
    <w:rsid w:val="77A1622D"/>
    <w:rsid w:val="77A31525"/>
    <w:rsid w:val="77A74019"/>
    <w:rsid w:val="77A75021"/>
    <w:rsid w:val="77B4796D"/>
    <w:rsid w:val="77B8689C"/>
    <w:rsid w:val="77B92F7E"/>
    <w:rsid w:val="77BD5A24"/>
    <w:rsid w:val="77C2510C"/>
    <w:rsid w:val="77C833A2"/>
    <w:rsid w:val="77D21E05"/>
    <w:rsid w:val="77E568E3"/>
    <w:rsid w:val="77EE19D2"/>
    <w:rsid w:val="77F62779"/>
    <w:rsid w:val="78036043"/>
    <w:rsid w:val="78120646"/>
    <w:rsid w:val="7813374F"/>
    <w:rsid w:val="781838FF"/>
    <w:rsid w:val="781B3886"/>
    <w:rsid w:val="78306028"/>
    <w:rsid w:val="78316382"/>
    <w:rsid w:val="78355626"/>
    <w:rsid w:val="78375EBD"/>
    <w:rsid w:val="78410AF5"/>
    <w:rsid w:val="784151EC"/>
    <w:rsid w:val="78431FD5"/>
    <w:rsid w:val="784563AF"/>
    <w:rsid w:val="78472BBE"/>
    <w:rsid w:val="7849196F"/>
    <w:rsid w:val="78505CDF"/>
    <w:rsid w:val="78591903"/>
    <w:rsid w:val="787659AD"/>
    <w:rsid w:val="7888219B"/>
    <w:rsid w:val="78887070"/>
    <w:rsid w:val="788908C8"/>
    <w:rsid w:val="78993306"/>
    <w:rsid w:val="78A561F3"/>
    <w:rsid w:val="78AB3452"/>
    <w:rsid w:val="78B0117B"/>
    <w:rsid w:val="78B91C9F"/>
    <w:rsid w:val="78BC539D"/>
    <w:rsid w:val="78C134B0"/>
    <w:rsid w:val="78C64CC0"/>
    <w:rsid w:val="78C67D14"/>
    <w:rsid w:val="78CD3535"/>
    <w:rsid w:val="78CE6A79"/>
    <w:rsid w:val="78CF6033"/>
    <w:rsid w:val="78D97F0E"/>
    <w:rsid w:val="78DA009A"/>
    <w:rsid w:val="78DC2FA9"/>
    <w:rsid w:val="78DD4939"/>
    <w:rsid w:val="78E062D1"/>
    <w:rsid w:val="78F40C87"/>
    <w:rsid w:val="78F66B5A"/>
    <w:rsid w:val="78FC7FC2"/>
    <w:rsid w:val="79042DE3"/>
    <w:rsid w:val="790704DF"/>
    <w:rsid w:val="790D0BF3"/>
    <w:rsid w:val="790D4F70"/>
    <w:rsid w:val="791474A8"/>
    <w:rsid w:val="79176206"/>
    <w:rsid w:val="79193B81"/>
    <w:rsid w:val="791C7612"/>
    <w:rsid w:val="79213934"/>
    <w:rsid w:val="79221399"/>
    <w:rsid w:val="79350D11"/>
    <w:rsid w:val="79351894"/>
    <w:rsid w:val="7940572D"/>
    <w:rsid w:val="79461391"/>
    <w:rsid w:val="79474814"/>
    <w:rsid w:val="79492AA1"/>
    <w:rsid w:val="794B4D74"/>
    <w:rsid w:val="79501475"/>
    <w:rsid w:val="79524043"/>
    <w:rsid w:val="795A5499"/>
    <w:rsid w:val="79651377"/>
    <w:rsid w:val="796E35F2"/>
    <w:rsid w:val="7971290E"/>
    <w:rsid w:val="79762768"/>
    <w:rsid w:val="79790DCC"/>
    <w:rsid w:val="797951A9"/>
    <w:rsid w:val="79852B10"/>
    <w:rsid w:val="7990174F"/>
    <w:rsid w:val="79A03D48"/>
    <w:rsid w:val="79A15149"/>
    <w:rsid w:val="79A37CCA"/>
    <w:rsid w:val="79A71C2E"/>
    <w:rsid w:val="79A74BCA"/>
    <w:rsid w:val="79AE39E9"/>
    <w:rsid w:val="79B57356"/>
    <w:rsid w:val="79B74D95"/>
    <w:rsid w:val="79BD3E41"/>
    <w:rsid w:val="79BF2784"/>
    <w:rsid w:val="79C0597A"/>
    <w:rsid w:val="79C24EDF"/>
    <w:rsid w:val="79C66717"/>
    <w:rsid w:val="79C95AED"/>
    <w:rsid w:val="79D62785"/>
    <w:rsid w:val="79DF1EBA"/>
    <w:rsid w:val="79E12ED9"/>
    <w:rsid w:val="79E352FF"/>
    <w:rsid w:val="79E9023D"/>
    <w:rsid w:val="79ED6701"/>
    <w:rsid w:val="79EE7E8E"/>
    <w:rsid w:val="79F30A3A"/>
    <w:rsid w:val="79FB2D0B"/>
    <w:rsid w:val="7A000500"/>
    <w:rsid w:val="7A052E17"/>
    <w:rsid w:val="7A097B67"/>
    <w:rsid w:val="7A0F1525"/>
    <w:rsid w:val="7A1005C5"/>
    <w:rsid w:val="7A157806"/>
    <w:rsid w:val="7A214634"/>
    <w:rsid w:val="7A262C2D"/>
    <w:rsid w:val="7A291938"/>
    <w:rsid w:val="7A3D7CC0"/>
    <w:rsid w:val="7A4006D3"/>
    <w:rsid w:val="7A4D07BA"/>
    <w:rsid w:val="7A5863D3"/>
    <w:rsid w:val="7A5C5FAF"/>
    <w:rsid w:val="7A634604"/>
    <w:rsid w:val="7A64499E"/>
    <w:rsid w:val="7A6656B6"/>
    <w:rsid w:val="7A723F72"/>
    <w:rsid w:val="7A743D9C"/>
    <w:rsid w:val="7A7D4128"/>
    <w:rsid w:val="7A820760"/>
    <w:rsid w:val="7A87742E"/>
    <w:rsid w:val="7A9123B7"/>
    <w:rsid w:val="7A9711EE"/>
    <w:rsid w:val="7A9A1B33"/>
    <w:rsid w:val="7A9C3E5C"/>
    <w:rsid w:val="7A9D1CEF"/>
    <w:rsid w:val="7AA14F42"/>
    <w:rsid w:val="7AA16CBD"/>
    <w:rsid w:val="7AA5277A"/>
    <w:rsid w:val="7AA952CF"/>
    <w:rsid w:val="7AAE678B"/>
    <w:rsid w:val="7AB07C78"/>
    <w:rsid w:val="7AB514B2"/>
    <w:rsid w:val="7AC32058"/>
    <w:rsid w:val="7ACA29DF"/>
    <w:rsid w:val="7ACD2D7F"/>
    <w:rsid w:val="7AD27B42"/>
    <w:rsid w:val="7AD53EC1"/>
    <w:rsid w:val="7AD84E14"/>
    <w:rsid w:val="7ADB474B"/>
    <w:rsid w:val="7ADB7F1A"/>
    <w:rsid w:val="7AE32935"/>
    <w:rsid w:val="7AE55787"/>
    <w:rsid w:val="7AF73B59"/>
    <w:rsid w:val="7AF91DAF"/>
    <w:rsid w:val="7AF9607E"/>
    <w:rsid w:val="7B18546A"/>
    <w:rsid w:val="7B1B467F"/>
    <w:rsid w:val="7B1F59AA"/>
    <w:rsid w:val="7B214978"/>
    <w:rsid w:val="7B37017F"/>
    <w:rsid w:val="7B391012"/>
    <w:rsid w:val="7B4A5781"/>
    <w:rsid w:val="7B4C106C"/>
    <w:rsid w:val="7B4E09BF"/>
    <w:rsid w:val="7B4F0023"/>
    <w:rsid w:val="7B603C7C"/>
    <w:rsid w:val="7B65590F"/>
    <w:rsid w:val="7B6E2AB1"/>
    <w:rsid w:val="7B771CED"/>
    <w:rsid w:val="7B7B5719"/>
    <w:rsid w:val="7B7C1A5E"/>
    <w:rsid w:val="7B802195"/>
    <w:rsid w:val="7B841287"/>
    <w:rsid w:val="7B8F170E"/>
    <w:rsid w:val="7B9422CC"/>
    <w:rsid w:val="7BA22D26"/>
    <w:rsid w:val="7BA521BC"/>
    <w:rsid w:val="7BA63294"/>
    <w:rsid w:val="7BAA2B37"/>
    <w:rsid w:val="7BAB7079"/>
    <w:rsid w:val="7BB145C1"/>
    <w:rsid w:val="7BB2241E"/>
    <w:rsid w:val="7BB37F9E"/>
    <w:rsid w:val="7BC17EBE"/>
    <w:rsid w:val="7BC43666"/>
    <w:rsid w:val="7BC8293C"/>
    <w:rsid w:val="7BC87053"/>
    <w:rsid w:val="7BD13894"/>
    <w:rsid w:val="7BDC009C"/>
    <w:rsid w:val="7BDE0174"/>
    <w:rsid w:val="7BDF18E6"/>
    <w:rsid w:val="7BE131F6"/>
    <w:rsid w:val="7BF11348"/>
    <w:rsid w:val="7BF4701E"/>
    <w:rsid w:val="7BF542FE"/>
    <w:rsid w:val="7BFF0642"/>
    <w:rsid w:val="7C056E44"/>
    <w:rsid w:val="7C0C42C7"/>
    <w:rsid w:val="7C206952"/>
    <w:rsid w:val="7C2D1C60"/>
    <w:rsid w:val="7C3832F5"/>
    <w:rsid w:val="7C42281E"/>
    <w:rsid w:val="7C453975"/>
    <w:rsid w:val="7C4C3FDF"/>
    <w:rsid w:val="7C610C91"/>
    <w:rsid w:val="7C613AEC"/>
    <w:rsid w:val="7C6E7E2C"/>
    <w:rsid w:val="7C734075"/>
    <w:rsid w:val="7C773CA6"/>
    <w:rsid w:val="7C815D2A"/>
    <w:rsid w:val="7C831756"/>
    <w:rsid w:val="7C8C4CAB"/>
    <w:rsid w:val="7C982736"/>
    <w:rsid w:val="7C9A2FA3"/>
    <w:rsid w:val="7C9B7BAB"/>
    <w:rsid w:val="7C9E5A24"/>
    <w:rsid w:val="7CA3583F"/>
    <w:rsid w:val="7CA67728"/>
    <w:rsid w:val="7CAE1614"/>
    <w:rsid w:val="7CB62523"/>
    <w:rsid w:val="7CBE1154"/>
    <w:rsid w:val="7CCA5583"/>
    <w:rsid w:val="7CD72F9B"/>
    <w:rsid w:val="7CE146B6"/>
    <w:rsid w:val="7CE65C11"/>
    <w:rsid w:val="7CE70935"/>
    <w:rsid w:val="7CF84A31"/>
    <w:rsid w:val="7CFC44C2"/>
    <w:rsid w:val="7D013B39"/>
    <w:rsid w:val="7D060FAD"/>
    <w:rsid w:val="7D0826CA"/>
    <w:rsid w:val="7D0D06E5"/>
    <w:rsid w:val="7D130509"/>
    <w:rsid w:val="7D1946C0"/>
    <w:rsid w:val="7D1D7FE9"/>
    <w:rsid w:val="7D292A41"/>
    <w:rsid w:val="7D2A5CCB"/>
    <w:rsid w:val="7D363E2B"/>
    <w:rsid w:val="7D401CAA"/>
    <w:rsid w:val="7D4E195B"/>
    <w:rsid w:val="7D515EFA"/>
    <w:rsid w:val="7D635C6D"/>
    <w:rsid w:val="7D64087E"/>
    <w:rsid w:val="7D69117D"/>
    <w:rsid w:val="7D696CB2"/>
    <w:rsid w:val="7D7836CA"/>
    <w:rsid w:val="7D7A555A"/>
    <w:rsid w:val="7D7F5298"/>
    <w:rsid w:val="7D8362BA"/>
    <w:rsid w:val="7D870F72"/>
    <w:rsid w:val="7D8B7B11"/>
    <w:rsid w:val="7DA843EE"/>
    <w:rsid w:val="7DAB10BD"/>
    <w:rsid w:val="7DB66641"/>
    <w:rsid w:val="7DBF2E7A"/>
    <w:rsid w:val="7DCC7A63"/>
    <w:rsid w:val="7DD7657D"/>
    <w:rsid w:val="7DDA6C39"/>
    <w:rsid w:val="7DE15552"/>
    <w:rsid w:val="7DE16744"/>
    <w:rsid w:val="7DE661CB"/>
    <w:rsid w:val="7DEB2C44"/>
    <w:rsid w:val="7DF464FC"/>
    <w:rsid w:val="7DFE63E1"/>
    <w:rsid w:val="7E006A11"/>
    <w:rsid w:val="7E1C55F3"/>
    <w:rsid w:val="7E202566"/>
    <w:rsid w:val="7E222965"/>
    <w:rsid w:val="7E2E7D3F"/>
    <w:rsid w:val="7E330B2F"/>
    <w:rsid w:val="7E347694"/>
    <w:rsid w:val="7E3B5911"/>
    <w:rsid w:val="7E495416"/>
    <w:rsid w:val="7E497873"/>
    <w:rsid w:val="7E570488"/>
    <w:rsid w:val="7E573082"/>
    <w:rsid w:val="7E593C4C"/>
    <w:rsid w:val="7E712F31"/>
    <w:rsid w:val="7E750E81"/>
    <w:rsid w:val="7E760C9A"/>
    <w:rsid w:val="7E761EFC"/>
    <w:rsid w:val="7E8E0538"/>
    <w:rsid w:val="7E9044A6"/>
    <w:rsid w:val="7E922E52"/>
    <w:rsid w:val="7EA87297"/>
    <w:rsid w:val="7EAE1E9B"/>
    <w:rsid w:val="7EB56059"/>
    <w:rsid w:val="7EB73383"/>
    <w:rsid w:val="7EBD506F"/>
    <w:rsid w:val="7EC22792"/>
    <w:rsid w:val="7EC23404"/>
    <w:rsid w:val="7EC57DB4"/>
    <w:rsid w:val="7ED55364"/>
    <w:rsid w:val="7ED61FF8"/>
    <w:rsid w:val="7ED766B7"/>
    <w:rsid w:val="7EDE52DA"/>
    <w:rsid w:val="7EE53087"/>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35F69"/>
    <w:rsid w:val="7F35713F"/>
    <w:rsid w:val="7F3A44DE"/>
    <w:rsid w:val="7F3A7611"/>
    <w:rsid w:val="7F3B01C9"/>
    <w:rsid w:val="7F4A17F6"/>
    <w:rsid w:val="7F536DE1"/>
    <w:rsid w:val="7F6339F7"/>
    <w:rsid w:val="7F645858"/>
    <w:rsid w:val="7F6966D2"/>
    <w:rsid w:val="7F816A21"/>
    <w:rsid w:val="7F8660CD"/>
    <w:rsid w:val="7F8A2E2C"/>
    <w:rsid w:val="7F963419"/>
    <w:rsid w:val="7F97707E"/>
    <w:rsid w:val="7FA069EC"/>
    <w:rsid w:val="7FCD0D4E"/>
    <w:rsid w:val="7FD277AE"/>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basedOn w:val="25"/>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character" w:customStyle="1" w:styleId="93">
    <w:name w:val="eop"/>
    <w:basedOn w:val="25"/>
    <w:qFormat/>
    <w:uiPriority w:val="0"/>
  </w:style>
  <w:style w:type="table" w:customStyle="1" w:styleId="94">
    <w:name w:val="网格型1"/>
    <w:basedOn w:val="23"/>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
    <w:name w:val="网格型2"/>
    <w:basedOn w:val="23"/>
    <w:qFormat/>
    <w:uiPriority w:val="39"/>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6">
    <w:name w:val="B2"/>
    <w:basedOn w:val="1"/>
    <w:qFormat/>
    <w:uiPriority w:val="0"/>
    <w:pPr>
      <w:ind w:left="851" w:hanging="284"/>
    </w:p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wmf"/><Relationship Id="rId5" Type="http://schemas.openxmlformats.org/officeDocument/2006/relationships/image" Target="media/image1.png"/><Relationship Id="rId4" Type="http://schemas.openxmlformats.org/officeDocument/2006/relationships/theme" Target="theme/theme1.xml"/><Relationship Id="rId33" Type="http://schemas.openxmlformats.org/officeDocument/2006/relationships/fontTable" Target="fontTable.xml"/><Relationship Id="rId32" Type="http://schemas.openxmlformats.org/officeDocument/2006/relationships/customXml" Target="../customXml/item2.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header" Target="header1.xml"/><Relationship Id="rId29" Type="http://schemas.openxmlformats.org/officeDocument/2006/relationships/image" Target="media/image25.wmf"/><Relationship Id="rId28" Type="http://schemas.openxmlformats.org/officeDocument/2006/relationships/image" Target="media/image24.wmf"/><Relationship Id="rId27" Type="http://schemas.openxmlformats.org/officeDocument/2006/relationships/image" Target="media/image23.wmf"/><Relationship Id="rId26" Type="http://schemas.openxmlformats.org/officeDocument/2006/relationships/image" Target="media/image22.wmf"/><Relationship Id="rId25" Type="http://schemas.openxmlformats.org/officeDocument/2006/relationships/image" Target="media/image21.wmf"/><Relationship Id="rId24" Type="http://schemas.openxmlformats.org/officeDocument/2006/relationships/image" Target="media/image20.wmf"/><Relationship Id="rId23" Type="http://schemas.openxmlformats.org/officeDocument/2006/relationships/image" Target="media/image19.wmf"/><Relationship Id="rId22" Type="http://schemas.openxmlformats.org/officeDocument/2006/relationships/image" Target="media/image18.wmf"/><Relationship Id="rId21" Type="http://schemas.openxmlformats.org/officeDocument/2006/relationships/image" Target="media/image17.wmf"/><Relationship Id="rId20" Type="http://schemas.openxmlformats.org/officeDocument/2006/relationships/image" Target="media/image16.wmf"/><Relationship Id="rId2" Type="http://schemas.openxmlformats.org/officeDocument/2006/relationships/settings" Target="settings.xml"/><Relationship Id="rId19" Type="http://schemas.openxmlformats.org/officeDocument/2006/relationships/image" Target="media/image15.wmf"/><Relationship Id="rId18" Type="http://schemas.openxmlformats.org/officeDocument/2006/relationships/image" Target="media/image14.png"/><Relationship Id="rId17" Type="http://schemas.openxmlformats.org/officeDocument/2006/relationships/image" Target="media/image13.wmf"/><Relationship Id="rId16" Type="http://schemas.openxmlformats.org/officeDocument/2006/relationships/image" Target="media/image12.png"/><Relationship Id="rId15" Type="http://schemas.openxmlformats.org/officeDocument/2006/relationships/image" Target="media/image11.wmf"/><Relationship Id="rId14" Type="http://schemas.openxmlformats.org/officeDocument/2006/relationships/image" Target="media/image10.wmf"/><Relationship Id="rId13" Type="http://schemas.openxmlformats.org/officeDocument/2006/relationships/image" Target="media/image9.wmf"/><Relationship Id="rId12" Type="http://schemas.openxmlformats.org/officeDocument/2006/relationships/image" Target="media/image8.wmf"/><Relationship Id="rId11" Type="http://schemas.openxmlformats.org/officeDocument/2006/relationships/image" Target="media/image7.wmf"/><Relationship Id="rId10" Type="http://schemas.openxmlformats.org/officeDocument/2006/relationships/image" Target="media/image6.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2</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2023-04-10T13:30:25Z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